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E9" w:rsidRDefault="000E0EE9">
      <w:pPr>
        <w:jc w:val="both"/>
        <w:outlineLvl w:val="0"/>
      </w:pPr>
      <w:r>
        <w:t>Para ser presentado a la revista Adicciones</w:t>
      </w:r>
    </w:p>
    <w:p w:rsidR="000E0EE9" w:rsidRDefault="000E0EE9">
      <w:pPr>
        <w:jc w:val="both"/>
        <w:outlineLvl w:val="0"/>
      </w:pPr>
    </w:p>
    <w:p w:rsidR="000E0EE9" w:rsidRDefault="000E0EE9">
      <w:pPr>
        <w:jc w:val="both"/>
        <w:outlineLvl w:val="0"/>
      </w:pPr>
    </w:p>
    <w:p w:rsidR="000E0EE9" w:rsidRDefault="000E0EE9">
      <w:pPr>
        <w:jc w:val="both"/>
        <w:outlineLvl w:val="0"/>
      </w:pPr>
    </w:p>
    <w:p w:rsidR="000E0EE9" w:rsidRDefault="000E0EE9">
      <w:pPr>
        <w:jc w:val="both"/>
        <w:outlineLvl w:val="0"/>
      </w:pPr>
    </w:p>
    <w:p w:rsidR="000E0EE9" w:rsidRDefault="000E0EE9">
      <w:pPr>
        <w:jc w:val="both"/>
        <w:outlineLvl w:val="0"/>
        <w:rPr>
          <w:b/>
          <w:bCs/>
        </w:rPr>
      </w:pPr>
      <w:r>
        <w:rPr>
          <w:b/>
          <w:bCs/>
        </w:rPr>
        <w:t>Entorno urbano de alcohol: un estudio sobre disponibilidad, promoción y visibilidad del consumo en barrios de Barcelona</w:t>
      </w:r>
    </w:p>
    <w:p w:rsidR="000E0EE9" w:rsidRDefault="000E0EE9">
      <w:pPr>
        <w:jc w:val="both"/>
        <w:outlineLvl w:val="0"/>
      </w:pPr>
    </w:p>
    <w:p w:rsidR="000E0EE9" w:rsidRDefault="000E0EE9">
      <w:pPr>
        <w:jc w:val="both"/>
      </w:pPr>
    </w:p>
    <w:p w:rsidR="000E0EE9" w:rsidRDefault="000E0EE9">
      <w:pPr>
        <w:jc w:val="both"/>
        <w:outlineLvl w:val="0"/>
        <w:rPr>
          <w:color w:val="auto"/>
          <w:lang w:val="pt-BR"/>
        </w:rPr>
      </w:pPr>
      <w:proofErr w:type="spellStart"/>
      <w:r>
        <w:rPr>
          <w:color w:val="auto"/>
          <w:lang w:val="pt-BR"/>
        </w:rPr>
        <w:t>Villalbí</w:t>
      </w:r>
      <w:proofErr w:type="spellEnd"/>
      <w:r>
        <w:rPr>
          <w:color w:val="auto"/>
          <w:lang w:val="pt-BR"/>
        </w:rPr>
        <w:t xml:space="preserve"> JR</w:t>
      </w:r>
      <w:proofErr w:type="gramStart"/>
      <w:r>
        <w:rPr>
          <w:color w:val="auto"/>
          <w:lang w:val="pt-BR"/>
        </w:rPr>
        <w:t>*,*</w:t>
      </w:r>
      <w:proofErr w:type="gramEnd"/>
      <w:r>
        <w:rPr>
          <w:color w:val="auto"/>
          <w:lang w:val="pt-BR"/>
        </w:rPr>
        <w:t xml:space="preserve">*,***,****, </w:t>
      </w:r>
      <w:proofErr w:type="spellStart"/>
      <w:r>
        <w:rPr>
          <w:color w:val="auto"/>
          <w:lang w:val="pt-BR"/>
        </w:rPr>
        <w:t>Espelt</w:t>
      </w:r>
      <w:proofErr w:type="spellEnd"/>
      <w:r>
        <w:rPr>
          <w:color w:val="auto"/>
          <w:lang w:val="pt-BR"/>
        </w:rPr>
        <w:t xml:space="preserve"> A*,**,****,*****, </w:t>
      </w:r>
      <w:proofErr w:type="spellStart"/>
      <w:r>
        <w:rPr>
          <w:color w:val="auto"/>
          <w:lang w:val="pt-BR"/>
        </w:rPr>
        <w:t>Sureda</w:t>
      </w:r>
      <w:proofErr w:type="spellEnd"/>
      <w:r>
        <w:rPr>
          <w:color w:val="auto"/>
          <w:lang w:val="pt-BR"/>
        </w:rPr>
        <w:t xml:space="preserve"> X******, Bosque-</w:t>
      </w:r>
      <w:proofErr w:type="spellStart"/>
      <w:r>
        <w:rPr>
          <w:color w:val="auto"/>
          <w:lang w:val="pt-BR"/>
        </w:rPr>
        <w:t>Prous</w:t>
      </w:r>
      <w:proofErr w:type="spellEnd"/>
      <w:r>
        <w:rPr>
          <w:color w:val="auto"/>
          <w:lang w:val="pt-BR"/>
        </w:rPr>
        <w:t xml:space="preserve"> M*,****, </w:t>
      </w:r>
      <w:proofErr w:type="spellStart"/>
      <w:r>
        <w:rPr>
          <w:color w:val="auto"/>
          <w:lang w:val="pt-BR"/>
        </w:rPr>
        <w:t>Teixidó-Compañó</w:t>
      </w:r>
      <w:proofErr w:type="spellEnd"/>
      <w:r>
        <w:rPr>
          <w:color w:val="auto"/>
          <w:lang w:val="pt-BR"/>
        </w:rPr>
        <w:t xml:space="preserve"> E*,****, </w:t>
      </w:r>
      <w:proofErr w:type="spellStart"/>
      <w:r>
        <w:rPr>
          <w:color w:val="auto"/>
          <w:lang w:val="pt-BR"/>
        </w:rPr>
        <w:t>Puigcorbé</w:t>
      </w:r>
      <w:proofErr w:type="spellEnd"/>
      <w:r>
        <w:rPr>
          <w:color w:val="auto"/>
          <w:lang w:val="pt-BR"/>
        </w:rPr>
        <w:t xml:space="preserve"> S*,****, Franco M******, </w:t>
      </w:r>
      <w:proofErr w:type="spellStart"/>
      <w:r>
        <w:rPr>
          <w:color w:val="auto"/>
          <w:lang w:val="pt-BR"/>
        </w:rPr>
        <w:t>Brugal</w:t>
      </w:r>
      <w:proofErr w:type="spellEnd"/>
      <w:r>
        <w:rPr>
          <w:color w:val="auto"/>
          <w:lang w:val="pt-BR"/>
        </w:rPr>
        <w:t xml:space="preserve"> MT*,***,****.</w:t>
      </w:r>
    </w:p>
    <w:p w:rsidR="000E0EE9" w:rsidRDefault="000E0EE9">
      <w:pPr>
        <w:jc w:val="both"/>
        <w:outlineLvl w:val="0"/>
        <w:rPr>
          <w:lang w:val="pt-BR"/>
        </w:rPr>
      </w:pPr>
    </w:p>
    <w:p w:rsidR="000E0EE9" w:rsidRDefault="000E0EE9">
      <w:pPr>
        <w:jc w:val="both"/>
        <w:outlineLvl w:val="0"/>
        <w:rPr>
          <w:lang w:val="pt-BR"/>
        </w:rPr>
      </w:pPr>
    </w:p>
    <w:p w:rsidR="000E0EE9" w:rsidRDefault="000E0EE9">
      <w:pPr>
        <w:jc w:val="both"/>
        <w:outlineLvl w:val="0"/>
      </w:pPr>
      <w:r>
        <w:t>*</w:t>
      </w:r>
      <w:proofErr w:type="spellStart"/>
      <w:r>
        <w:t>Agència</w:t>
      </w:r>
      <w:proofErr w:type="spellEnd"/>
      <w:r>
        <w:t xml:space="preserve"> de </w:t>
      </w:r>
      <w:proofErr w:type="spellStart"/>
      <w:r>
        <w:t>Salut</w:t>
      </w:r>
      <w:proofErr w:type="spellEnd"/>
      <w:r>
        <w:t xml:space="preserve"> Pública de Barcelona</w:t>
      </w:r>
      <w:r w:rsidR="00B96358">
        <w:t>.</w:t>
      </w:r>
    </w:p>
    <w:p w:rsidR="000E0EE9" w:rsidRDefault="000E0EE9">
      <w:pPr>
        <w:jc w:val="both"/>
        <w:outlineLvl w:val="0"/>
      </w:pPr>
      <w:r>
        <w:t>**CIBER de Epidemiología y Salud Pública</w:t>
      </w:r>
      <w:r w:rsidR="00B96358">
        <w:t>.</w:t>
      </w:r>
    </w:p>
    <w:p w:rsidR="000E0EE9" w:rsidRPr="007D70B0" w:rsidRDefault="000E0EE9">
      <w:pPr>
        <w:jc w:val="both"/>
        <w:outlineLvl w:val="0"/>
        <w:rPr>
          <w:lang w:val="ca-ES"/>
        </w:rPr>
      </w:pPr>
      <w:r>
        <w:rPr>
          <w:lang w:val="ca-ES"/>
        </w:rPr>
        <w:t>***</w:t>
      </w:r>
      <w:r w:rsidRPr="007D70B0">
        <w:rPr>
          <w:lang w:val="ca-ES"/>
        </w:rPr>
        <w:t>Departament de Ciències de la Salut i de la Vida, Universitat Pompeu Fabra</w:t>
      </w:r>
      <w:r w:rsidR="00B96358" w:rsidRPr="007D70B0">
        <w:rPr>
          <w:lang w:val="ca-ES"/>
        </w:rPr>
        <w:t>.</w:t>
      </w:r>
    </w:p>
    <w:p w:rsidR="000E0EE9" w:rsidRPr="007D70B0" w:rsidRDefault="000E0EE9">
      <w:pPr>
        <w:jc w:val="both"/>
        <w:outlineLvl w:val="0"/>
        <w:rPr>
          <w:lang w:val="ca-ES"/>
        </w:rPr>
      </w:pPr>
      <w:r w:rsidRPr="007D70B0">
        <w:rPr>
          <w:lang w:val="ca-ES"/>
        </w:rPr>
        <w:t>****Institut d’Investigació Biomèdica Sant Pau</w:t>
      </w:r>
      <w:r w:rsidR="00B96358" w:rsidRPr="007D70B0">
        <w:rPr>
          <w:lang w:val="ca-ES"/>
        </w:rPr>
        <w:t>.</w:t>
      </w:r>
    </w:p>
    <w:p w:rsidR="000E0EE9" w:rsidRPr="007D70B0" w:rsidRDefault="000E0EE9">
      <w:pPr>
        <w:jc w:val="both"/>
        <w:outlineLvl w:val="0"/>
        <w:rPr>
          <w:lang w:val="ca-ES"/>
        </w:rPr>
      </w:pPr>
      <w:r w:rsidRPr="007D70B0">
        <w:rPr>
          <w:lang w:val="ca-ES"/>
        </w:rPr>
        <w:t>*****</w:t>
      </w:r>
      <w:r w:rsidR="007D70B0" w:rsidRPr="007D70B0">
        <w:rPr>
          <w:lang w:val="ca-ES"/>
        </w:rPr>
        <w:t>Facultat de Ciències de la Salut de Manresa, Universitat de Vic - Universitat Central de Catalunya (</w:t>
      </w:r>
      <w:proofErr w:type="spellStart"/>
      <w:r w:rsidR="007D70B0" w:rsidRPr="007D70B0">
        <w:rPr>
          <w:lang w:val="ca-ES"/>
        </w:rPr>
        <w:t>UVicUCC</w:t>
      </w:r>
      <w:proofErr w:type="spellEnd"/>
      <w:r w:rsidR="007D70B0" w:rsidRPr="007D70B0">
        <w:rPr>
          <w:lang w:val="ca-ES"/>
        </w:rPr>
        <w:t>)</w:t>
      </w:r>
      <w:r w:rsidRPr="007D70B0">
        <w:rPr>
          <w:lang w:val="ca-ES"/>
        </w:rPr>
        <w:t>.</w:t>
      </w:r>
    </w:p>
    <w:p w:rsidR="000E0EE9" w:rsidRDefault="000E0EE9">
      <w:pPr>
        <w:jc w:val="both"/>
      </w:pPr>
      <w:r w:rsidRPr="007D70B0">
        <w:t>******Grupo de Epidemiología Social y Cardiovascular</w:t>
      </w:r>
      <w:r>
        <w:t>, Facultad de Medicina, Universidad de Alcalá. Alcalá de Henares</w:t>
      </w:r>
      <w:r w:rsidR="00B96358">
        <w:t>.</w:t>
      </w:r>
    </w:p>
    <w:p w:rsidR="000E0EE9" w:rsidRDefault="000E0EE9">
      <w:pPr>
        <w:jc w:val="both"/>
      </w:pPr>
    </w:p>
    <w:p w:rsidR="000E0EE9" w:rsidRDefault="000E0EE9">
      <w:pPr>
        <w:jc w:val="both"/>
      </w:pPr>
    </w:p>
    <w:p w:rsidR="000E0EE9" w:rsidRDefault="000E0EE9">
      <w:pPr>
        <w:jc w:val="both"/>
      </w:pPr>
    </w:p>
    <w:p w:rsidR="000E0EE9" w:rsidRDefault="000E0EE9">
      <w:pPr>
        <w:jc w:val="both"/>
      </w:pPr>
    </w:p>
    <w:p w:rsidR="000E0EE9" w:rsidRDefault="000E0EE9">
      <w:pPr>
        <w:jc w:val="both"/>
      </w:pPr>
      <w:r>
        <w:t>Correspondencia:</w:t>
      </w:r>
    </w:p>
    <w:p w:rsidR="000E0EE9" w:rsidRDefault="000E0EE9">
      <w:pPr>
        <w:jc w:val="both"/>
      </w:pPr>
    </w:p>
    <w:p w:rsidR="000E0EE9" w:rsidRDefault="000E0EE9">
      <w:pPr>
        <w:jc w:val="both"/>
      </w:pPr>
      <w:r>
        <w:t xml:space="preserve">Joan R </w:t>
      </w:r>
      <w:proofErr w:type="spellStart"/>
      <w:r>
        <w:t>Villalbí</w:t>
      </w:r>
      <w:proofErr w:type="spellEnd"/>
    </w:p>
    <w:p w:rsidR="000E0EE9" w:rsidRDefault="000E0EE9">
      <w:pPr>
        <w:jc w:val="both"/>
      </w:pPr>
      <w:proofErr w:type="spellStart"/>
      <w:r>
        <w:t>Agència</w:t>
      </w:r>
      <w:proofErr w:type="spellEnd"/>
      <w:r>
        <w:t xml:space="preserve"> de </w:t>
      </w:r>
      <w:proofErr w:type="spellStart"/>
      <w:r>
        <w:t>Salut</w:t>
      </w:r>
      <w:proofErr w:type="spellEnd"/>
      <w:r>
        <w:t xml:space="preserve"> Pública de Barcelona</w:t>
      </w:r>
    </w:p>
    <w:p w:rsidR="000E0EE9" w:rsidRDefault="000E0EE9">
      <w:pPr>
        <w:jc w:val="both"/>
        <w:rPr>
          <w:lang w:val="en-US"/>
        </w:rPr>
      </w:pPr>
      <w:r>
        <w:rPr>
          <w:lang w:val="en-US"/>
        </w:rPr>
        <w:t>Pl Lesseps 1</w:t>
      </w:r>
    </w:p>
    <w:p w:rsidR="000E0EE9" w:rsidRDefault="000E0EE9">
      <w:pPr>
        <w:jc w:val="both"/>
        <w:rPr>
          <w:lang w:val="en-US"/>
        </w:rPr>
      </w:pPr>
      <w:r>
        <w:rPr>
          <w:lang w:val="en-US"/>
        </w:rPr>
        <w:t>08023 Barcelona</w:t>
      </w:r>
    </w:p>
    <w:p w:rsidR="000E0EE9" w:rsidRDefault="007B3E99">
      <w:pPr>
        <w:jc w:val="both"/>
        <w:rPr>
          <w:lang w:val="en-US"/>
        </w:rPr>
      </w:pPr>
      <w:hyperlink r:id="rId7" w:history="1">
        <w:r w:rsidR="000E0EE9">
          <w:rPr>
            <w:rStyle w:val="Hipervnculo"/>
            <w:rFonts w:ascii="Arial" w:hAnsi="Arial" w:cs="Arial"/>
            <w:lang w:val="en-US"/>
          </w:rPr>
          <w:t>jrvillal@aspb.cat</w:t>
        </w:r>
      </w:hyperlink>
    </w:p>
    <w:p w:rsidR="000E0EE9" w:rsidRDefault="000E0EE9">
      <w:pPr>
        <w:jc w:val="both"/>
        <w:rPr>
          <w:lang w:val="en-US"/>
        </w:rPr>
      </w:pPr>
    </w:p>
    <w:p w:rsidR="000E0EE9" w:rsidRDefault="000E0EE9">
      <w:pPr>
        <w:jc w:val="both"/>
        <w:rPr>
          <w:lang w:val="en-US"/>
        </w:rPr>
      </w:pPr>
    </w:p>
    <w:p w:rsidR="000E0EE9" w:rsidRDefault="000E0EE9">
      <w:pPr>
        <w:jc w:val="both"/>
        <w:rPr>
          <w:lang w:val="en-US"/>
        </w:rPr>
      </w:pPr>
    </w:p>
    <w:p w:rsidR="000E0EE9" w:rsidRDefault="000E0EE9">
      <w:pPr>
        <w:jc w:val="both"/>
        <w:rPr>
          <w:lang w:val="en-US"/>
        </w:rPr>
      </w:pPr>
    </w:p>
    <w:p w:rsidR="000E0EE9" w:rsidRDefault="000E0EE9">
      <w:pPr>
        <w:jc w:val="both"/>
        <w:rPr>
          <w:lang w:val="en-US"/>
        </w:rPr>
      </w:pPr>
    </w:p>
    <w:p w:rsidR="000E0EE9" w:rsidRDefault="000E0EE9">
      <w:pPr>
        <w:jc w:val="both"/>
      </w:pPr>
      <w:r w:rsidRPr="00291E6C">
        <w:br w:type="page"/>
      </w:r>
      <w:r>
        <w:lastRenderedPageBreak/>
        <w:t>Resumen</w:t>
      </w:r>
    </w:p>
    <w:p w:rsidR="000E0EE9" w:rsidRDefault="000E0EE9">
      <w:pPr>
        <w:jc w:val="both"/>
      </w:pPr>
    </w:p>
    <w:p w:rsidR="000E0EE9" w:rsidRDefault="000E0EE9">
      <w:pPr>
        <w:jc w:val="both"/>
      </w:pPr>
      <w:r>
        <w:t xml:space="preserve">Introducción. Se describe la presencia de alcohol en el espacio público, valorando los establecimientos que lo ofrecen, la publicidad, </w:t>
      </w:r>
      <w:r w:rsidR="00AF548C">
        <w:t>y los</w:t>
      </w:r>
      <w:r>
        <w:t xml:space="preserve"> indicios de consumo</w:t>
      </w:r>
      <w:r w:rsidR="00AF548C">
        <w:t>, como factores que pueden inducir el consumo</w:t>
      </w:r>
      <w:r>
        <w:t>.</w:t>
      </w:r>
    </w:p>
    <w:p w:rsidR="000E0EE9" w:rsidRDefault="000E0EE9">
      <w:pPr>
        <w:jc w:val="both"/>
      </w:pPr>
      <w:r>
        <w:t xml:space="preserve">Método. Estudio observacional descriptivo basado en un muestreo por conglomerados con selección </w:t>
      </w:r>
      <w:proofErr w:type="spellStart"/>
      <w:r>
        <w:t>bietápica</w:t>
      </w:r>
      <w:proofErr w:type="spellEnd"/>
      <w:r>
        <w:t>. Se describen los resultados, y se valora la asociación espacial entre variables.</w:t>
      </w:r>
    </w:p>
    <w:p w:rsidR="000E0EE9" w:rsidRDefault="000E0EE9">
      <w:pPr>
        <w:jc w:val="both"/>
      </w:pPr>
      <w:r>
        <w:t>Resultados. En las 20 secciones censales estudiadas se identificaron 306 establecimientos que ofrecían bebidas alcohólicas: 204 de venta y consumo</w:t>
      </w:r>
      <w:r w:rsidR="00201140">
        <w:t xml:space="preserve"> y 102</w:t>
      </w:r>
      <w:r>
        <w:t xml:space="preserve"> de venta sin consumo, </w:t>
      </w:r>
      <w:r w:rsidR="00201140">
        <w:t>básicamente supermercados y comercio alimentario</w:t>
      </w:r>
      <w:r>
        <w:t>. Su distribución territorial fue desigual, concentrada en dos distritos céntricos</w:t>
      </w:r>
      <w:r>
        <w:rPr>
          <w:rStyle w:val="Refdecomentario"/>
          <w:rFonts w:ascii="Arial" w:hAnsi="Arial" w:cs="Arial"/>
          <w:sz w:val="24"/>
          <w:szCs w:val="24"/>
        </w:rPr>
        <w:t>.</w:t>
      </w:r>
      <w:r>
        <w:t xml:space="preserve"> Se identificaron 72 elementos de promoción y publicidad destacando el patrocinio de actividades musicales. Se observan elementos promocionales vinculados a los locales de venta y consumo, sobre todo en sus terrazas. Se detectaron cinco personas realizando venta ambulante o promoción del consumo en el casco antiguo. En cada franja horaria se apreciaron entre 39 y 51 indicios de consumo en la vía pública (mayoritariamente envases de cerveza abandonados), más frecuentes de noche y en el casco antiguo. Hay una asociación entre la presencia de establecimientos que ofrecen alcohol y la de elementos de publicidad. No se aprecia relación entre estas variables y los indicios de consumo en el espacio público; éstos se concentran en el casco antiguo, con mayor presencia del turismo.</w:t>
      </w:r>
    </w:p>
    <w:p w:rsidR="000E0EE9" w:rsidRPr="00201140" w:rsidRDefault="000E0EE9">
      <w:pPr>
        <w:pStyle w:val="Textoindependiente"/>
      </w:pPr>
      <w:r w:rsidRPr="00201140">
        <w:t>Conclusiones. El medio urbano se caracteriza por elementos que estimulan el consumo</w:t>
      </w:r>
      <w:r w:rsidR="00AF548C" w:rsidRPr="00201140">
        <w:t xml:space="preserve"> de alcohol</w:t>
      </w:r>
      <w:r w:rsidR="002559BC" w:rsidRPr="00201140">
        <w:t xml:space="preserve"> y su distribución es desigual</w:t>
      </w:r>
      <w:r w:rsidR="00DF4EEF" w:rsidRPr="00201140">
        <w:t xml:space="preserve">, muy influida por las actividades orientadas al turismo. </w:t>
      </w:r>
      <w:r w:rsidR="002559BC" w:rsidRPr="00201140">
        <w:t xml:space="preserve">Mejorar la </w:t>
      </w:r>
      <w:r w:rsidRPr="00201140">
        <w:t xml:space="preserve">regulación de </w:t>
      </w:r>
      <w:r w:rsidR="00AF548C" w:rsidRPr="00201140">
        <w:t>su</w:t>
      </w:r>
      <w:r w:rsidRPr="00201140">
        <w:t xml:space="preserve"> promoción, disponibilidad y consumo </w:t>
      </w:r>
      <w:r w:rsidR="00AF548C" w:rsidRPr="00201140">
        <w:t>en el espacio público p</w:t>
      </w:r>
      <w:r w:rsidR="002559BC" w:rsidRPr="00201140">
        <w:t>uede</w:t>
      </w:r>
      <w:r w:rsidR="00AF548C" w:rsidRPr="00201140">
        <w:t xml:space="preserve"> contribuir a </w:t>
      </w:r>
      <w:r w:rsidRPr="00201140">
        <w:t>cambiar su imagen social</w:t>
      </w:r>
      <w:r w:rsidR="00AF548C" w:rsidRPr="00201140">
        <w:t xml:space="preserve"> y disminuir su uso</w:t>
      </w:r>
      <w:r w:rsidRPr="00201140">
        <w:t>.</w:t>
      </w:r>
    </w:p>
    <w:p w:rsidR="000E0EE9" w:rsidRPr="00201140" w:rsidRDefault="000E0EE9">
      <w:pPr>
        <w:jc w:val="both"/>
      </w:pPr>
    </w:p>
    <w:p w:rsidR="000E0EE9" w:rsidRDefault="000E0EE9">
      <w:pPr>
        <w:jc w:val="both"/>
        <w:outlineLvl w:val="0"/>
        <w:rPr>
          <w:lang w:val="es-ES_tradnl"/>
        </w:rPr>
      </w:pPr>
      <w:r w:rsidRPr="00201140">
        <w:rPr>
          <w:lang w:val="es-ES_tradnl"/>
        </w:rPr>
        <w:t xml:space="preserve">Palabras clave: </w:t>
      </w:r>
      <w:r w:rsidR="00AF548C" w:rsidRPr="00201140">
        <w:rPr>
          <w:lang w:val="es-ES_tradnl"/>
        </w:rPr>
        <w:t xml:space="preserve">bebidas </w:t>
      </w:r>
      <w:r w:rsidRPr="00201140">
        <w:rPr>
          <w:lang w:val="es-ES_tradnl"/>
        </w:rPr>
        <w:t>alcoh</w:t>
      </w:r>
      <w:r w:rsidR="00AF548C" w:rsidRPr="00201140">
        <w:rPr>
          <w:lang w:val="es-ES_tradnl"/>
        </w:rPr>
        <w:t>ó</w:t>
      </w:r>
      <w:r w:rsidRPr="00201140">
        <w:rPr>
          <w:lang w:val="es-ES_tradnl"/>
        </w:rPr>
        <w:t>l</w:t>
      </w:r>
      <w:r w:rsidR="00AF548C" w:rsidRPr="00201140">
        <w:rPr>
          <w:lang w:val="es-ES_tradnl"/>
        </w:rPr>
        <w:t>icas</w:t>
      </w:r>
      <w:r w:rsidRPr="00201140">
        <w:rPr>
          <w:lang w:val="es-ES_tradnl"/>
        </w:rPr>
        <w:t xml:space="preserve"> -  política </w:t>
      </w:r>
      <w:r w:rsidR="00AF548C" w:rsidRPr="00201140">
        <w:rPr>
          <w:lang w:val="es-ES_tradnl"/>
        </w:rPr>
        <w:t xml:space="preserve">pública </w:t>
      </w:r>
      <w:r w:rsidRPr="00201140">
        <w:rPr>
          <w:lang w:val="es-ES_tradnl"/>
        </w:rPr>
        <w:t xml:space="preserve">- evaluación – </w:t>
      </w:r>
      <w:r w:rsidR="00AF548C" w:rsidRPr="00201140">
        <w:rPr>
          <w:lang w:val="es-ES_tradnl"/>
        </w:rPr>
        <w:t>observación</w:t>
      </w:r>
      <w:r w:rsidRPr="00201140">
        <w:rPr>
          <w:lang w:val="es-ES_tradnl"/>
        </w:rPr>
        <w:t xml:space="preserve"> </w:t>
      </w:r>
      <w:r w:rsidR="00AF548C" w:rsidRPr="00201140">
        <w:rPr>
          <w:lang w:val="es-ES_tradnl"/>
        </w:rPr>
        <w:t>–</w:t>
      </w:r>
      <w:r w:rsidRPr="00201140">
        <w:rPr>
          <w:lang w:val="es-ES_tradnl"/>
        </w:rPr>
        <w:t xml:space="preserve"> entorno</w:t>
      </w:r>
      <w:r w:rsidR="00AF548C" w:rsidRPr="00201140">
        <w:rPr>
          <w:lang w:val="es-ES_tradnl"/>
        </w:rPr>
        <w:t xml:space="preserve"> social</w:t>
      </w:r>
      <w:r w:rsidRPr="00201140">
        <w:rPr>
          <w:lang w:val="es-ES_tradnl"/>
        </w:rPr>
        <w:t>.</w:t>
      </w:r>
    </w:p>
    <w:p w:rsidR="000E0EE9" w:rsidRDefault="000E0EE9">
      <w:pPr>
        <w:jc w:val="both"/>
        <w:outlineLvl w:val="0"/>
        <w:rPr>
          <w:lang w:val="es-ES_tradnl"/>
        </w:rPr>
      </w:pPr>
    </w:p>
    <w:p w:rsidR="000E0EE9" w:rsidRPr="00201140" w:rsidRDefault="000E0EE9">
      <w:pPr>
        <w:jc w:val="both"/>
        <w:outlineLvl w:val="0"/>
        <w:rPr>
          <w:lang w:val="en-US"/>
        </w:rPr>
      </w:pPr>
      <w:r>
        <w:rPr>
          <w:lang w:val="en-GB"/>
        </w:rPr>
        <w:t xml:space="preserve">The urban environment of alcohol: a study on the availability, promotion and </w:t>
      </w:r>
      <w:r w:rsidRPr="00201140">
        <w:rPr>
          <w:lang w:val="en-US"/>
        </w:rPr>
        <w:t xml:space="preserve">visibility of its use in the neighborhoods of Barcelona. </w:t>
      </w:r>
    </w:p>
    <w:p w:rsidR="000E0EE9" w:rsidRDefault="000E0EE9">
      <w:pPr>
        <w:pStyle w:val="Textoindependiente"/>
        <w:rPr>
          <w:lang w:val="en-GB"/>
        </w:rPr>
      </w:pPr>
    </w:p>
    <w:p w:rsidR="000E0EE9" w:rsidRPr="00001453" w:rsidRDefault="000E0EE9">
      <w:pPr>
        <w:pStyle w:val="Textoindependiente"/>
        <w:rPr>
          <w:lang w:val="en-US"/>
        </w:rPr>
      </w:pPr>
      <w:r w:rsidRPr="00001453">
        <w:rPr>
          <w:lang w:val="en-US"/>
        </w:rPr>
        <w:t xml:space="preserve">Introduction. </w:t>
      </w:r>
      <w:r>
        <w:rPr>
          <w:lang w:val="en-GB"/>
        </w:rPr>
        <w:t xml:space="preserve">This paper </w:t>
      </w:r>
      <w:r w:rsidRPr="00001453">
        <w:rPr>
          <w:lang w:val="en-US"/>
        </w:rPr>
        <w:t>describes the presence of alcohol in the public space, assessing establishments that offer it, its advertising, and signs of consumption</w:t>
      </w:r>
      <w:r w:rsidR="00AF548C">
        <w:rPr>
          <w:lang w:val="en-US"/>
        </w:rPr>
        <w:t>, as factors that may influence its consumption</w:t>
      </w:r>
      <w:r w:rsidRPr="00001453">
        <w:rPr>
          <w:lang w:val="en-US"/>
        </w:rPr>
        <w:t>.</w:t>
      </w:r>
    </w:p>
    <w:p w:rsidR="000E0EE9" w:rsidRPr="00001453" w:rsidRDefault="000E0EE9">
      <w:pPr>
        <w:pStyle w:val="Textoindependiente"/>
        <w:rPr>
          <w:lang w:val="en-US"/>
        </w:rPr>
      </w:pPr>
      <w:r w:rsidRPr="00001453">
        <w:rPr>
          <w:lang w:val="en-US"/>
        </w:rPr>
        <w:t>Method. Descriptive observational study based on cluster sampling with two-step selection. Results are described, and the spatial association between variables is assessed.</w:t>
      </w:r>
    </w:p>
    <w:p w:rsidR="000E0EE9" w:rsidRPr="00001453" w:rsidRDefault="000E0EE9">
      <w:pPr>
        <w:pStyle w:val="Textoindependiente"/>
        <w:rPr>
          <w:lang w:val="en-US"/>
        </w:rPr>
      </w:pPr>
      <w:r w:rsidRPr="00001453">
        <w:rPr>
          <w:lang w:val="en-US"/>
        </w:rPr>
        <w:t>Results. In the 20 census tracts studied, 306 premises were identified that offered alcoholic beverages: 204</w:t>
      </w:r>
      <w:r w:rsidR="00DF4EEF">
        <w:rPr>
          <w:lang w:val="en-US"/>
        </w:rPr>
        <w:t xml:space="preserve"> were on-premises</w:t>
      </w:r>
      <w:r w:rsidR="00201140">
        <w:rPr>
          <w:lang w:val="en-US"/>
        </w:rPr>
        <w:t xml:space="preserve"> and 102 </w:t>
      </w:r>
      <w:r w:rsidR="00DF4EEF">
        <w:rPr>
          <w:lang w:val="en-US"/>
        </w:rPr>
        <w:t>were off-p</w:t>
      </w:r>
      <w:r w:rsidRPr="00001453">
        <w:rPr>
          <w:lang w:val="en-US"/>
        </w:rPr>
        <w:t xml:space="preserve">remises, </w:t>
      </w:r>
      <w:r w:rsidR="00201140">
        <w:rPr>
          <w:lang w:val="en-US"/>
        </w:rPr>
        <w:t>mainly supermarkets and food retail stores</w:t>
      </w:r>
      <w:r w:rsidRPr="00001453">
        <w:rPr>
          <w:lang w:val="en-US"/>
        </w:rPr>
        <w:t>. Their spatial distribution was uneven, concentrated in two central districts. We identified 72 publicity items, mostly sponsorship of musical events. There were many promotional items linked to on- premises, especially in their terraces. Five people were detected promoting consumption or sellin</w:t>
      </w:r>
      <w:r w:rsidR="00001453">
        <w:rPr>
          <w:lang w:val="en-US"/>
        </w:rPr>
        <w:t>g</w:t>
      </w:r>
      <w:r w:rsidRPr="00001453">
        <w:rPr>
          <w:lang w:val="en-US"/>
        </w:rPr>
        <w:t xml:space="preserve"> alcohol in the Old Town. In each time slot, between 39 and 51 signs of consumption on the public space were observed (mostly abandoned beer cans), more frequent at night and in the Old Town. There is an </w:t>
      </w:r>
      <w:r w:rsidRPr="00001453">
        <w:rPr>
          <w:lang w:val="en-US"/>
        </w:rPr>
        <w:lastRenderedPageBreak/>
        <w:t>association between the presence of establishments that offer alcohol and advertising. There is no relationship between these variables and signs of consumption in the public space; these are concentrated in the Old Town, which has greater presence of tourism.</w:t>
      </w:r>
    </w:p>
    <w:p w:rsidR="000E0EE9" w:rsidRPr="00001453" w:rsidRDefault="000E0EE9">
      <w:pPr>
        <w:pStyle w:val="Textoindependiente"/>
        <w:rPr>
          <w:lang w:val="en-US"/>
        </w:rPr>
      </w:pPr>
      <w:r w:rsidRPr="00201140">
        <w:rPr>
          <w:lang w:val="en-US"/>
        </w:rPr>
        <w:t xml:space="preserve">Conclusions. The urban environment is characterized by elements that stimulate </w:t>
      </w:r>
      <w:r w:rsidR="00AF548C" w:rsidRPr="00201140">
        <w:rPr>
          <w:lang w:val="en-US"/>
        </w:rPr>
        <w:t>alcohol use</w:t>
      </w:r>
      <w:r w:rsidR="00DF4EEF" w:rsidRPr="00201140">
        <w:rPr>
          <w:lang w:val="en-US"/>
        </w:rPr>
        <w:t xml:space="preserve"> and its distribution is uneven, with a strong influence of tourism-related activities</w:t>
      </w:r>
      <w:r w:rsidRPr="00201140">
        <w:rPr>
          <w:lang w:val="en-US"/>
        </w:rPr>
        <w:t xml:space="preserve">. Further regulation of alcohol promotion, availability and consumption </w:t>
      </w:r>
      <w:r w:rsidR="00AF548C" w:rsidRPr="00201140">
        <w:rPr>
          <w:lang w:val="en-US"/>
        </w:rPr>
        <w:t xml:space="preserve">in the public space may </w:t>
      </w:r>
      <w:r w:rsidRPr="00201140">
        <w:rPr>
          <w:lang w:val="en-US"/>
        </w:rPr>
        <w:t>change its social image</w:t>
      </w:r>
      <w:r w:rsidR="00AF548C" w:rsidRPr="00201140">
        <w:rPr>
          <w:lang w:val="en-US"/>
        </w:rPr>
        <w:t xml:space="preserve"> and decrease its use</w:t>
      </w:r>
      <w:r w:rsidRPr="00201140">
        <w:rPr>
          <w:lang w:val="en-US"/>
        </w:rPr>
        <w:t>.</w:t>
      </w:r>
    </w:p>
    <w:p w:rsidR="000E0EE9" w:rsidRDefault="000E0EE9">
      <w:pPr>
        <w:pStyle w:val="Textoindependiente"/>
        <w:rPr>
          <w:lang w:val="en-GB"/>
        </w:rPr>
      </w:pPr>
    </w:p>
    <w:p w:rsidR="000E0EE9" w:rsidRDefault="000E0EE9">
      <w:pPr>
        <w:jc w:val="both"/>
        <w:rPr>
          <w:lang w:val="en-GB"/>
        </w:rPr>
      </w:pPr>
      <w:r>
        <w:rPr>
          <w:lang w:val="en-GB"/>
        </w:rPr>
        <w:t>Key words: alcohol</w:t>
      </w:r>
      <w:r w:rsidR="00AF548C">
        <w:rPr>
          <w:lang w:val="en-GB"/>
        </w:rPr>
        <w:t>ic beverages</w:t>
      </w:r>
      <w:r>
        <w:rPr>
          <w:lang w:val="en-GB"/>
        </w:rPr>
        <w:t xml:space="preserve">; </w:t>
      </w:r>
      <w:r w:rsidR="00AF548C">
        <w:rPr>
          <w:lang w:val="en-GB"/>
        </w:rPr>
        <w:t xml:space="preserve">public </w:t>
      </w:r>
      <w:r>
        <w:rPr>
          <w:lang w:val="en-GB"/>
        </w:rPr>
        <w:t xml:space="preserve">policy; evaluation; </w:t>
      </w:r>
      <w:r w:rsidR="00AF548C">
        <w:rPr>
          <w:lang w:val="en-GB"/>
        </w:rPr>
        <w:t>observation</w:t>
      </w:r>
      <w:r>
        <w:rPr>
          <w:lang w:val="en-GB"/>
        </w:rPr>
        <w:t xml:space="preserve">; </w:t>
      </w:r>
      <w:r w:rsidR="00AF548C">
        <w:rPr>
          <w:lang w:val="en-GB"/>
        </w:rPr>
        <w:t xml:space="preserve">social </w:t>
      </w:r>
      <w:r>
        <w:rPr>
          <w:lang w:val="en-GB"/>
        </w:rPr>
        <w:t>environment.</w:t>
      </w:r>
    </w:p>
    <w:p w:rsidR="000E0EE9" w:rsidRDefault="000E0EE9">
      <w:pPr>
        <w:jc w:val="both"/>
        <w:rPr>
          <w:lang w:val="en-GB"/>
        </w:rPr>
      </w:pPr>
    </w:p>
    <w:p w:rsidR="000E0EE9" w:rsidRDefault="000E0EE9">
      <w:pPr>
        <w:spacing w:before="240" w:line="360" w:lineRule="auto"/>
        <w:jc w:val="both"/>
        <w:rPr>
          <w:b/>
          <w:bCs/>
        </w:rPr>
      </w:pPr>
      <w:r w:rsidRPr="00291E6C">
        <w:rPr>
          <w:lang w:val="en-US"/>
        </w:rPr>
        <w:br w:type="page"/>
      </w:r>
      <w:r>
        <w:rPr>
          <w:b/>
          <w:bCs/>
        </w:rPr>
        <w:lastRenderedPageBreak/>
        <w:t>Introducción</w:t>
      </w:r>
    </w:p>
    <w:p w:rsidR="000E0EE9" w:rsidRDefault="000E0EE9">
      <w:pPr>
        <w:pStyle w:val="Textoindependiente"/>
        <w:spacing w:before="240" w:line="360" w:lineRule="auto"/>
      </w:pPr>
      <w:r>
        <w:t>Las normas sociales percibidas influyen en los patrones de consumo de alcohol</w:t>
      </w:r>
      <w:r w:rsidR="002F4C98">
        <w:t xml:space="preserve"> </w:t>
      </w:r>
      <w:r>
        <w:t xml:space="preserve"> </w:t>
      </w:r>
      <w:r>
        <w:fldChar w:fldCharType="begin"/>
      </w:r>
      <w:r w:rsidR="00464402">
        <w:instrText xml:space="preserve"> ADDIN ZOTERO_ITEM CSL_CITATION {"citationID":"a2phfemepv4","properties":{"formattedCitation":"(Sudhinaraset, Wigglesworth, &amp; Takeuchi, 2016)","plainCitation":"(Sudhinaraset, Wigglesworth, &amp; Takeuchi, 2016)"},"citationItems":[{"id":3769,"uris":["http://zotero.org/groups/71722/items/RIUPIQJ9"],"uri":["http://zotero.org/groups/71722/items/RIUPIQJ9"],"itemData":{"id":3769,"type":"article-journal","title":"Social and Cultural Contexts of Alcohol Use: Influences in a Social-Ecological Framework","container-title":"Alcohol Res","page":"35-45","volume":"38","issue":"1","source":"PubMed","abstract":"Alcohol use and misuse account for 3.3 million deaths every year, or 6 percent of all deaths worldwide. The harmful effects of alcohol misuse are far reaching and range from individual health risks, morbidity, and mortality to consequences for family, friends, and the larger society. This article reviews a few of the cultural and social influences on alcohol use and places individual alcohol use within the contexts and environments where people live and interact. It includes a discussion of macrolevel factors, such as advertising and marketing, immigration and discrimination factors, and how neighborhoods, families, and peers influence alcohol use. Specifically, the article describes how social and cultural contexts influence alcohol use/misuse and then explores future directions for alcohol research.","ISSN":"2168-3492","note":"PMID: 27159810\nPMCID: PMC4872611","shortTitle":"Social and Cultural Contexts of Alcohol Use","journalAbbreviation":"Alcohol Res","language":"eng","author":[{"family":"Sudhinaraset","given":"May"},{"family":"Wigglesworth","given":"Christina"},{"family":"Takeuchi","given":"David T."}],"issued":{"date-parts":[["2016"]]}}}],"schema":"https://github.com/citation-style-language/schema/raw/master/csl-citation.json"} </w:instrText>
      </w:r>
      <w:r>
        <w:fldChar w:fldCharType="separate"/>
      </w:r>
      <w:r w:rsidR="00291E6C">
        <w:t>(</w:t>
      </w:r>
      <w:proofErr w:type="spellStart"/>
      <w:r w:rsidR="00291E6C">
        <w:t>Sudhinaraset</w:t>
      </w:r>
      <w:proofErr w:type="spellEnd"/>
      <w:r w:rsidR="00291E6C">
        <w:t xml:space="preserve">, </w:t>
      </w:r>
      <w:proofErr w:type="spellStart"/>
      <w:r w:rsidR="00291E6C">
        <w:t>Wigglesworth</w:t>
      </w:r>
      <w:proofErr w:type="spellEnd"/>
      <w:r w:rsidR="0093499C" w:rsidRPr="0093499C">
        <w:t xml:space="preserve"> </w:t>
      </w:r>
      <w:r w:rsidR="00291E6C">
        <w:t>y</w:t>
      </w:r>
      <w:r w:rsidR="0093499C" w:rsidRPr="0093499C">
        <w:t xml:space="preserve"> </w:t>
      </w:r>
      <w:proofErr w:type="spellStart"/>
      <w:r w:rsidR="0093499C" w:rsidRPr="0093499C">
        <w:t>Takeuchi</w:t>
      </w:r>
      <w:proofErr w:type="spellEnd"/>
      <w:r w:rsidR="0093499C" w:rsidRPr="0093499C">
        <w:t>, 2016)</w:t>
      </w:r>
      <w:r>
        <w:fldChar w:fldCharType="end"/>
      </w:r>
      <w:r>
        <w:t xml:space="preserve">. </w:t>
      </w:r>
      <w:r w:rsidR="00B96358">
        <w:t xml:space="preserve">La </w:t>
      </w:r>
      <w:r>
        <w:t>oferta de alcohol, su publicidad y la visibilidad de su consumo en los espacios públicos contribuyen a crear una imagen de aceptación social</w:t>
      </w:r>
      <w:r w:rsidR="005748D8">
        <w:t xml:space="preserve"> </w:t>
      </w:r>
      <w:r w:rsidR="00B96358">
        <w:t>y</w:t>
      </w:r>
      <w:r w:rsidR="005748D8">
        <w:t xml:space="preserve"> se asocia</w:t>
      </w:r>
      <w:r w:rsidR="00B96358">
        <w:t>n</w:t>
      </w:r>
      <w:r w:rsidR="005748D8">
        <w:t xml:space="preserve"> a un mayor consumo, p</w:t>
      </w:r>
      <w:r>
        <w:t xml:space="preserve">or </w:t>
      </w:r>
      <w:r w:rsidR="005748D8">
        <w:t xml:space="preserve">lo que </w:t>
      </w:r>
      <w:r>
        <w:t>sus regulaciones pueden tener un importante valor preventivo</w:t>
      </w:r>
      <w:r w:rsidR="002F4C98">
        <w:t xml:space="preserve"> </w:t>
      </w:r>
      <w:r>
        <w:fldChar w:fldCharType="begin"/>
      </w:r>
      <w:r w:rsidR="00464402">
        <w:instrText xml:space="preserve"> ADDIN ZOTERO_ITEM CSL_CITATION {"citationID":"1to3j38jvc","properties":{"formattedCitation":"(Ahern, Margerison-Zilko, Hubbard, &amp; Galea, 2013; Campbell et al., 2009; de Bruijn et al., 2016)","plainCitation":"(Ahern, Margerison-Zilko, Hubbard, &amp; Galea, 2013; Campbell et al., 2009; de Bruijn et al., 2016)"},"citationItems":[{"id":2075,"uris":["http://zotero.org/groups/71722/items/EQVZBPVJ"],"uri":["http://zotero.org/groups/71722/items/EQVZBPVJ"],"itemData":{"id":2075,"type":"article-journal","title":"European longitudinal study on the relationship between adolescents’ alcohol marketing exposure and alcohol use: Impact of alcohol marketing on drinking in EU","container-title":"Addiction","page":"1774-83","volume":"111","issue":"10","source":"CrossRef","DOI":"10.1111/add.13455","ISSN":"09652140","shortTitle":"European longitudinal study on the relationship between adolescents’ alcohol marketing exposure and alcohol use","language":"en","author":[{"family":"Bruijn","given":"Avalon","non-dropping-particle":"de"},{"family":"Tanghe","given":"Jacqueline"},{"family":"Leeuw","given":"Rebecca","non-dropping-particle":"de"},{"family":"Engels","given":"Rutger"},{"family":"Anderson","given":"Peter"},{"family":"Beccaria","given":"Franca"},{"family":"Bujalski","given":"Michał"},{"family":"Celata","given":"Corrado"},{"family":"Gosselt","given":"Jordy"},{"family":"Schreckenberg","given":"Dirk"},{"family":"Słodownik","given":"Luiza"},{"family":"Wothge","given":"Jördis"},{"family":"Dalen","given":"Wim","non-dropping-particle":"van"}],"issued":{"date-parts":[["2016"]]}}},{"id":4778,"uris":["http://zotero.org/groups/71722/items/XK82NUEU"],"uri":["http://zotero.org/groups/71722/items/XK82NUEU"],"itemData":{"id":4778,"type":"article-journal","title":"Alcohol outlets and binge drinking in urban neighborhoods: the implications of nonlinearity for intervention and policy","container-title":"Am J Public Health","page":"e81-87","volume":"103","issue":"4","source":"PubMed","abstract":"OBJECTIVES: Alcohol outlet density has long been associated with alcohol-related harms, and policymakers have endorsed alcohol outlet restriction to reduce these harms. However, potential nonlinearity in the relation between outlet density and alcohol consumption has not been rigorously examined.\nMETHODS: We used data from the New York Social Environment Study (n = 4000) to examine the shape of the relation between neighborhood alcohol outlet density and binge drinking by using a generalized additive model with locally weighted scatterplot smoothing, and applied an imputation-based marginal modeling approach.\nRESULTS: We found a nonlinear relation between alcohol outlet density and binge drinking; the association was stronger at densities of more than 80 outlets per square mile. Binge drinking prevalence was estimated to be 13% at 130 outlets, 8% at 80 outlets, and 8% at 20 outlets per square mile.\nCONCLUSIONS: This nonlinearity suggests that reductions in alcohol outlet density where density is highest and the association is strongest may have the largest public health impact per unit reduction. Future research should assess the impact of policies and interventions that aim to reduce alcohol outlet density, and consider nonlinearity in effects.","DOI":"10.2105/AJPH.2012.301203","ISSN":"1541-0048","note":"PMID: 23409908\nPMCID: PMC3673248","shortTitle":"Alcohol outlets and binge drinking in urban neighborhoods","journalAbbreviation":"Am J Public Health","language":"eng","author":[{"family":"Ahern","given":"Jennifer"},{"family":"Margerison-Zilko","given":"Claire"},{"family":"Hubbard","given":"Alan"},{"family":"Galea","given":"Sandro"}],"issued":{"date-parts":[["2013",4]]}}},{"id":2293,"uris":["http://zotero.org/groups/71722/items/G2EMSI56"],"uri":["http://zotero.org/groups/71722/items/G2EMSI56"],"itemData":{"id":2293,"type":"article-journal","title":"The effectiveness of limiting alcohol outlet density as a means of reducing excessive alcohol consumption and alcohol-related harms","container-title":"Am J Prev Med","page":"556-569","volume":"37","issue":"6","source":"PubMed","abstract":"The density of alcohol outlets in communities may be regulated to reduce excessive alcohol consumption and related harms. Studies directly assessing the control of outlet density as a means of controlling excessive alcohol consumption and related harms do not exist, but assessments of related phenomena are indicative. To assess the effects of outlet density on alcohol-related harms, primary evidence was used from interrupted time-series studies of outlet density; studies of the privatization of alcohol sales, alcohol bans, and changes in license arrangements-all of which affected outlet density. Most of the studies included in this review found that greater outlet density is associated with increased alcohol consumption and related harms, including medical harms, injury, crime, and violence. Primary evidence was supported by secondary evidence from correlational studies. The regulation of alcohol outlet density may be a useful public health tool for the reduction of excessive alcohol consumption and related harms.","DOI":"10.1016/j.amepre.2009.09.028","ISSN":"1873-2607","note":"PMID: 19944925","journalAbbreviation":"Am J Prev Med","language":"eng","author":[{"family":"Campbell","given":"Carla Alexia"},{"family":"Hahn","given":"Robert A."},{"family":"Elder","given":"Randy"},{"family":"Brewer","given":"Robert"},{"family":"Chattopadhyay","given":"Sajal"},{"family":"Fielding","given":"Jonathan"},{"family":"Naimi","given":"Timothy S."},{"family":"Toomey","given":"Traci"},{"family":"Lawrence","given":"Briana"},{"family":"Middleton","given":"Jennifer Cook"}],"issued":{"date-parts":[["2009"]]}}}],"schema":"https://github.com/citation-style-language/schema/raw/master/csl-citation.json"} </w:instrText>
      </w:r>
      <w:r>
        <w:fldChar w:fldCharType="separate"/>
      </w:r>
      <w:r w:rsidR="0093499C" w:rsidRPr="0093499C">
        <w:t xml:space="preserve">(Ahern, </w:t>
      </w:r>
      <w:proofErr w:type="spellStart"/>
      <w:r w:rsidR="0093499C" w:rsidRPr="0093499C">
        <w:t>Margerison-Zilko</w:t>
      </w:r>
      <w:proofErr w:type="spellEnd"/>
      <w:r w:rsidR="0093499C" w:rsidRPr="0093499C">
        <w:t xml:space="preserve">, </w:t>
      </w:r>
      <w:proofErr w:type="spellStart"/>
      <w:r w:rsidR="0093499C" w:rsidRPr="0093499C">
        <w:t>Hubbard</w:t>
      </w:r>
      <w:proofErr w:type="spellEnd"/>
      <w:r w:rsidR="0093499C" w:rsidRPr="0093499C">
        <w:t xml:space="preserve"> </w:t>
      </w:r>
      <w:r w:rsidR="00291E6C">
        <w:t>y</w:t>
      </w:r>
      <w:r w:rsidR="0093499C" w:rsidRPr="0093499C">
        <w:t xml:space="preserve"> </w:t>
      </w:r>
      <w:proofErr w:type="spellStart"/>
      <w:r w:rsidR="0093499C" w:rsidRPr="0093499C">
        <w:t>Galea</w:t>
      </w:r>
      <w:proofErr w:type="spellEnd"/>
      <w:r w:rsidR="0093499C" w:rsidRPr="0093499C">
        <w:t>, 2013; Campbell et al., 2009; de Bruijn et al., 2016)</w:t>
      </w:r>
      <w:r>
        <w:fldChar w:fldCharType="end"/>
      </w:r>
      <w:r>
        <w:t>. De hecho, en Europa se ha visto que los países con mayores restricciones de publicidad de bebidas alcohólicas presentaban menores prevalencias de consumidores de riesgo de alcohol</w:t>
      </w:r>
      <w:r w:rsidR="002F4C98">
        <w:t xml:space="preserve"> </w:t>
      </w:r>
      <w:r>
        <w:fldChar w:fldCharType="begin"/>
      </w:r>
      <w:r w:rsidR="00464402">
        <w:instrText xml:space="preserve"> ADDIN ZOTERO_ITEM CSL_CITATION {"citationID":"7qp759ilo","properties":{"formattedCitation":"(Bosque-Prous et al., 2014)","plainCitation":"(Bosque-Prous et al., 2014)"},"citationItems":[{"id":293,"uris":["http://zotero.org/groups/71722/items/3SJK5PRM"],"uri":["http://zotero.org/groups/71722/items/3SJK5PRM"],"itemData":{"id":293,"type":"article-journal","title":"Association between stricter alcohol advertising regulations and lower hazardous drinking across European countries","container-title":"Addiction","page":"1634-1643","volume":"109","issue":"10","source":"NCBI PubMed","abstract":"AIMS: To analyse the association between alcohol advertising restrictions and the prevalence of hazardous drinking among people aged 50 to 64 years in 16 European countries, taking into account both individual and contextual-level factors (alcohol taxation, availability, etc.).\nDESIGN: Cross-sectional study based on SHARE (Survey of Health, Ageing and Retirement in Europe) project surveys. Setting and participants 27,773 subjects, aged 50-64 years, from 16 European countries who participated in wave 4 of the SHARE project.\nMEASUREMENTS: We estimated the prevalence of hazardous drinking (through adaptation of the SHARE questions to the scheme used by the Alcohol Use Disorders Identification Test Consumption, or AUDIT-C) for each country. To determine whether the degree of advertising restrictions was associated with prevalence of hazardous drinking, we fitted robust variance multilevel Poisson models, adjusting for various individual and contextual variables. Prevalence ratios (PR) and their 95% confidence intervals (95%CI) were obtained.\nFINDINGS: The observed prevalence of hazardous drinking was 24.1%, varying by sex and country. Countries with greater advertising restrictions had lower prevalence of hazardous drinking: 29.2% (95%CI: 28.1-30.3) in countries with no restrictions, 22.0% (95%CI: 20.8-23.1) in countries with some restrictions, and 13.6% (95%CI: 12.3-14.9) in those with greatest restrictions. The PR found (with respect to countries with greatest restrictions) were 1.21 (95%CI: 0.83-1.78) for countries with some restrictions, and 1.77 (95%CI: 1.20-2.61) for those with no advertising restrictions.\nCONCLUSIONS: Extent of advertising restrictions in European countries is inversely associated with prevalence of hazardous drinking in people aged 50-64.","DOI":"10.1111/add.12562","ISSN":"1360-0443","note":"PMID: 24690020","journalAbbreviation":"Addiction","language":"ENG","author":[{"family":"Bosque-Prous","given":"Marina"},{"family":"Espelt","given":"Albert"},{"family":"Guitart","given":"Anna M"},{"family":"Bartroli","given":"Montserrat"},{"family":"Villalbí","given":"Joan R"},{"family":"Brugal","given":"M Teresa"}],"issued":{"date-parts":[["2014"]]}}}],"schema":"https://github.com/citation-style-language/schema/raw/master/csl-citation.json"} </w:instrText>
      </w:r>
      <w:r>
        <w:fldChar w:fldCharType="separate"/>
      </w:r>
      <w:r w:rsidR="0093499C" w:rsidRPr="0093499C">
        <w:t>(Bosque-Prous et al., 2014)</w:t>
      </w:r>
      <w:r>
        <w:fldChar w:fldCharType="end"/>
      </w:r>
      <w:r>
        <w:t>. En nuestro entorno, en los últimos años se ha documentado una tendencia al incremento de las intoxicaciones por alcohol en los adolescentes y jóvenes</w:t>
      </w:r>
      <w:r w:rsidR="005748D8">
        <w:t xml:space="preserve"> y</w:t>
      </w:r>
      <w:r>
        <w:t xml:space="preserve"> desde los sectores sanitarios hay un creciente interés para adoptar medidas preventivas</w:t>
      </w:r>
      <w:r w:rsidR="002F4C98">
        <w:t xml:space="preserve"> </w:t>
      </w:r>
      <w:r>
        <w:fldChar w:fldCharType="begin"/>
      </w:r>
      <w:r w:rsidR="00464402">
        <w:instrText xml:space="preserve"> ADDIN ZOTERO_ITEM CSL_CITATION {"citationID":"P3QOn2Wy","properties":{"formattedCitation":"{\\rtf (Pulido et al., 2014; S\\uc0\\u225{}nchez-Queija, Moreno, Rivera, &amp; Ramos, 2015)}","plainCitation":"(Pulido et al., 2014; Sánchez-Queija, Moreno, Rivera, &amp; Ramos, 2015)"},"citationItems":[{"id":1137,"uris":["http://zotero.org/groups/71722/items/96P756UP"],"uri":["http://zotero.org/groups/71722/items/96P756UP"],"itemData":{"id":1137,"type":"article-journal","title":"Alcohol consumption trends among Spanish school-aged adolescents in the first decade of the 21st century","container-title":"Gacet Sanit","page":"184–189","volume":"29","issue":"3","source":"Google Scholar","author":[{"family":"Sánchez-Queija","given":"Inmaculada"},{"family":"Moreno","given":"Carmen"},{"family":"Rivera","given":"Francisco"},{"family":"Ramos","given":"Pilar"}],"issued":{"date-parts":[["2015"]]}}},{"id":4482,"uris":["http://zotero.org/groups/71722/items/VVDAFA5V"],"uri":["http://zotero.org/groups/71722/items/VVDAFA5V"],"itemData":{"id":4482,"type":"article-journal","title":"[Population-based studies on alcohol-related harm in Spain]","container-title":"Rev Esp Salud Publica","page":"493-513","volume":"88","issue":"4","source":"NCBI PubMed","abstract":"Based on the review of scientific papers and institutional reports on the subject and analysis of some secondary data, we assess the alcohol-related harm in Spain between 1990 and 2011. In 2011 they could be attributable to alcohol, 10% of the total mortality of the population aged 15-64, and about 30% of deaths due to traffic accidents. Among the population aged 15-64 years at least 0.8% had alcohol use disorders, an additional 5% could have harmful alcohol consumption that would need clinical evaluation, and about 20% had had some acute alcohol intoxication (AAI) in the last year. The AAI accounted for approximately 0.5-1.1 % of hospital emergency visits. Social costs of alcohol could represent 1% of gross domestic product. The prevalence of alcohol-related harm was significantly higher in men than women, with a male/female ratio greater than three for alcohol-related mortality and serious injuries, and this situation has hardly changed in the last 20 years. Alcohol-related harm has followed a downward trend, except for AAI. In 1990-2011 the standardized mortality rates related to alcohol decreased by half. Large gaps in knowledge and uncertainties on alcohol-related harm in Spanish population, clearly justify the institutional support for the research in this field and the implementation of a comprehensive monitoring system.","DOI":"10.4321/S1135-57272014000400005","ISSN":"1135-5727","note":"PMID: 25090406","journalAbbreviation":"Rev Esp Salud Publica","language":"spa","author":[{"family":"Pulido","given":"José"},{"family":"Indave-Ruiz","given":"B. Iciar"},{"family":"Colell-Ortega","given":"Esther"},{"family":"Ruiz-García","given":"Mónica"},{"family":"Bartroli","given":"Montserrat"},{"family":"Barrio","given":"Gregorio"}],"issued":{"date-parts":[["2014"]]}}}],"schema":"https://github.com/citation-style-language/schema/raw/master/csl-citation.json"} </w:instrText>
      </w:r>
      <w:r>
        <w:fldChar w:fldCharType="separate"/>
      </w:r>
      <w:r w:rsidR="0093499C" w:rsidRPr="0093499C">
        <w:t>(Pulido et al., 2014;</w:t>
      </w:r>
      <w:r w:rsidR="00291E6C">
        <w:t xml:space="preserve"> Sánchez-</w:t>
      </w:r>
      <w:proofErr w:type="spellStart"/>
      <w:r w:rsidR="00291E6C">
        <w:t>Queija</w:t>
      </w:r>
      <w:proofErr w:type="spellEnd"/>
      <w:r w:rsidR="00291E6C">
        <w:t>, Moreno, Rivera y</w:t>
      </w:r>
      <w:r w:rsidR="0093499C" w:rsidRPr="0093499C">
        <w:t xml:space="preserve"> Ramos, 2015)</w:t>
      </w:r>
      <w:r>
        <w:fldChar w:fldCharType="end"/>
      </w:r>
      <w:r>
        <w:t xml:space="preserve">. Sin embargo, las resistencias de los grupos con intereses económicos implicados han bloqueado </w:t>
      </w:r>
      <w:r w:rsidR="0013406B">
        <w:t xml:space="preserve">hasta ahora </w:t>
      </w:r>
      <w:r>
        <w:t xml:space="preserve">los intentos legislativos </w:t>
      </w:r>
      <w:r w:rsidR="0013406B">
        <w:t>en</w:t>
      </w:r>
      <w:r>
        <w:t xml:space="preserve"> los últimos años</w:t>
      </w:r>
      <w:r w:rsidR="002F4C98">
        <w:t xml:space="preserve"> </w:t>
      </w:r>
      <w:r>
        <w:fldChar w:fldCharType="begin"/>
      </w:r>
      <w:r w:rsidR="00464402">
        <w:instrText xml:space="preserve"> ADDIN ZOTERO_ITEM CSL_CITATION {"citationID":"bjip0t264","properties":{"formattedCitation":"(Villalbi, Granero, &amp; Brugal, 2008)","plainCitation":"(Villalbi, Granero, &amp; Brugal, 2008)"},"citationItems":[{"id":2472,"uris":["http://zotero.org/groups/71722/items/H4WMNNBU"],"uri":["http://zotero.org/groups/71722/items/H4WMNNBU"],"itemData":{"id":2472,"type":"article-journal","title":"[Regulatory policies on alcohol in Spain. Experience-based public health?]","container-title":"Gac Sanit","page":"79-85","volume":"22 Suppl 1","abstract":"The present article reviews the proposal for alcohol regulation made in Spain in 2006 by the Ministry of Health and Consumer Affairs and dropped a few months later as adverse positions took over the debate in the political arena and the media. The background to these regulations, as well as their components, the process, and the actors involved are analyzed, and the factors leading to this outcome are discussed. A comparison is made with the tobacco regulation initiative in 2005, which resulted in a regulatory law with a highly favorable impact on public health. The actors interested in promoting alcohol consumption and opposed to any regulation have a privileged institutional presence, generating powerful resistance. Although these regulatory proposals would have marginal impacts on their trade, wine growers and wineries have been the most visible forces against regulation and have had the greatest political and media impact. Equally, manipulated messages on the health benefits of alcohol use have fed arguments against regulation. The lack of political and media consensus in this case stands in contrast with the tobacco regulation process, in which a certain political consensus had previously been reached and the smoking prevention movement had permeated the media with preventive messages, framing the issue in terms favorable for regulation. To gain ground, the sectors interested in expanding public policies for the prevention of the harm caused by alcohol need greater cohesion and organization. Professional public health organizations can substantially contribute to this field","journalAbbreviation":"Gac Sanit","author":[{"family":"Villalbi","given":"J.R."},{"family":"Granero","given":"L."},{"family":"Brugal","given":"M.T."}],"issued":{"date-parts":[["2008"]]}}}],"schema":"https://github.com/citation-style-language/schema/raw/master/csl-citation.json"} </w:instrText>
      </w:r>
      <w:r>
        <w:fldChar w:fldCharType="separate"/>
      </w:r>
      <w:r w:rsidR="0093499C" w:rsidRPr="0093499C">
        <w:t>(</w:t>
      </w:r>
      <w:proofErr w:type="spellStart"/>
      <w:r w:rsidR="0093499C" w:rsidRPr="0093499C">
        <w:t>Villalbi</w:t>
      </w:r>
      <w:proofErr w:type="spellEnd"/>
      <w:r w:rsidR="0093499C" w:rsidRPr="0093499C">
        <w:t xml:space="preserve">, Granero </w:t>
      </w:r>
      <w:r w:rsidR="00291E6C">
        <w:t>y</w:t>
      </w:r>
      <w:r w:rsidR="0093499C" w:rsidRPr="0093499C">
        <w:t xml:space="preserve"> </w:t>
      </w:r>
      <w:proofErr w:type="spellStart"/>
      <w:r w:rsidR="0093499C" w:rsidRPr="0093499C">
        <w:t>Brugal</w:t>
      </w:r>
      <w:proofErr w:type="spellEnd"/>
      <w:r w:rsidR="0093499C" w:rsidRPr="0093499C">
        <w:t>, 2008)</w:t>
      </w:r>
      <w:r>
        <w:fldChar w:fldCharType="end"/>
      </w:r>
      <w:r>
        <w:t xml:space="preserve">. </w:t>
      </w:r>
    </w:p>
    <w:p w:rsidR="000E0EE9" w:rsidRDefault="00B96358">
      <w:pPr>
        <w:pStyle w:val="Textoindependiente"/>
        <w:spacing w:before="240" w:line="360" w:lineRule="auto"/>
      </w:pPr>
      <w:r>
        <w:t xml:space="preserve">La promoción del alcohol así como su disponibilidad juegan un papel importante en el inicio del consumo y en su mantenimiento </w:t>
      </w:r>
      <w:r>
        <w:fldChar w:fldCharType="begin"/>
      </w:r>
      <w:r>
        <w:instrText xml:space="preserve"> ADDIN ZOTERO_ITEM CSL_CITATION {"citationID":"2q42a6ueal","properties":{"formattedCitation":"(Anderson, de Bruijn, Angus, Gordon, &amp; Hastings, 2009)","plainCitation":"(Anderson, de Bruijn, Angus, Gordon, &amp; Hastings, 2009)"},"citationItems":[{"id":3661,"uris":["http://zotero.org/groups/71722/items/QTHUPJRX"],"uri":["http://zotero.org/groups/71722/items/QTHUPJRX"],"itemData":{"id":3661,"type":"article-journal","title":"Impact of alcohol advertising and media exposure on adolescent alcohol use: a systematic review of longitudinal studies","container-title":"Alcohol Alcohol","page":"229-243","volume":"44","issue":"3","abstract":"AIMS: To assess the impact of alcohol advertising and media exposure on future adolescent alcohol use. METHODS: We searched MEDLINE, the Cochrane Library, Sociological Abstracts, and PsycLIT, from 1990 to September 2008, supplemented with searches of Google scholar, hand searches of key journals and reference lists of identified papers and key publications for more recent publications. We selected longitudinal studies that assessed individuals' exposure to commercial communications and media and alcohol drinking behaviour at baseline, and assessed alcohol drinking behaviour at follow-up. Participants were adolescents aged 18 years or younger or below the legal drinking age of the country of origin of the study, whichever was the higher. RESULTS: Thirteen longitudinal studies that followed up a total of over 38,000 young people met inclusion criteria. The studies measured exposure to advertising and promotion in a variety of ways, including estimates of the volume of media and advertising exposure, ownership of branded merchandise, recall and receptivity, and one study on expenditure on advertisements. Follow-up ranged from 8 to 96 months. One study reported outcomes at multiple time-points, 3, 5, and 8 years. Seven studies provided data on initiation of alcohol use amongst non-drinkers, three studies on maintenance and frequency of drinking amongst baseline drinkers, and seven studies on alcohol use of the total sample of non-drinkers and drinkers at baseline. Twelve of the thirteen studies concluded an impact of exposure on subsequent alcohol use, including initiation of drinking and heavier drinking amongst existing drinkers, with a dose response relationship in all studies that reported such exposure and analysis. There was variation in the strength of association, and the degree to which potential confounders were controlled for. The thirteenth study, which tested the impact of outdoor advertising placed near schools failed to detect an impact on alcohol use, but found an impact on intentions to use. CONCLUSIONS: Longitudinal studies consistently suggest that exposure to media and commercial communications on alcohol is associated with the likelihood that adolescents will start to drink alcohol, and with increased drinking amongst baseline drinkers. Based on the strength of this association, the consistency of findings across numerous observational studies, temporality of exposure and drinking behaviours observed, dose-response relationships, as well as the theoretical plausibility regarding the impact of media exposure and commercial communications, we conclude that alcohol advertising and promotion increases the likelihood that adolescents will start to use alcohol, and to drink more if they are already using alcohol","journalAbbreviation":"Alcohol Alcohol","author":[{"family":"Anderson","given":"P."},{"family":"Bruijn","given":"A.","non-dropping-particle":"de"},{"family":"Angus","given":"K."},{"family":"Gordon","given":"R."},{"family":"Hastings","given":"G."}],"issued":{"date-parts":[["2009"]]}}}],"schema":"https://github.com/citation-style-language/schema/raw/master/csl-citation.json"} </w:instrText>
      </w:r>
      <w:r>
        <w:fldChar w:fldCharType="separate"/>
      </w:r>
      <w:r w:rsidRPr="0093499C">
        <w:t xml:space="preserve">(Anderson, de </w:t>
      </w:r>
      <w:proofErr w:type="spellStart"/>
      <w:r w:rsidRPr="0093499C">
        <w:t>Bruijn</w:t>
      </w:r>
      <w:proofErr w:type="spellEnd"/>
      <w:r w:rsidRPr="0093499C">
        <w:t>, Angus, Gordon</w:t>
      </w:r>
      <w:r w:rsidR="00291E6C">
        <w:t xml:space="preserve"> y</w:t>
      </w:r>
      <w:r w:rsidRPr="0093499C">
        <w:t xml:space="preserve"> Hastings, 2009)</w:t>
      </w:r>
      <w:r>
        <w:fldChar w:fldCharType="end"/>
      </w:r>
      <w:r>
        <w:t xml:space="preserve">. </w:t>
      </w:r>
      <w:r w:rsidR="000E0EE9">
        <w:t>Algunas normativas, como la Ley 20/1985 de prevención y asistencia en materia de sustancias que pueden generar dependencia de Cataluña, han limitado la promoción de las bebidas alcohólicas. Esta prohibición de la publicidad de alcohol de alta graduación en la vía pública fue rec</w:t>
      </w:r>
      <w:r w:rsidR="002F4C98">
        <w:t>u</w:t>
      </w:r>
      <w:r w:rsidR="000E0EE9">
        <w:t xml:space="preserve">rrida a los tribunales por la industria, llegando a la Corte Europea de Justicia </w:t>
      </w:r>
      <w:r w:rsidR="002F4C98">
        <w:t xml:space="preserve">que </w:t>
      </w:r>
      <w:r>
        <w:t>falló a favor de</w:t>
      </w:r>
      <w:r w:rsidR="000E0EE9">
        <w:t>l gobierno de Cataluña</w:t>
      </w:r>
      <w:r w:rsidR="002F4C98">
        <w:t xml:space="preserve"> </w:t>
      </w:r>
      <w:r w:rsidR="000E0EE9">
        <w:fldChar w:fldCharType="begin"/>
      </w:r>
      <w:r w:rsidR="00464402">
        <w:instrText xml:space="preserve"> ADDIN ZOTERO_ITEM CSL_CITATION {"citationID":"m2174dkq0","properties":{"formattedCitation":"(Ford, 1993)","plainCitation":"(Ford, 1993)"},"citationItems":[{"id":451,"uris":["http://zotero.org/groups/71722/items/4V4VVWBG"],"uri":["http://zotero.org/groups/71722/items/4V4VVWBG"],"itemData":{"id":451,"type":"article-journal","title":"Regulation of Advertising in the European Community: an Overview","container-title":"European Advances in Consumer Research","page":"559-564","volume":"1","source":"Google Scholar","shortTitle":"Regulation of Advertising in the European Community","author":[{"family":"Ford","given":"Gary T."}],"issued":{"date-parts":[["1993"]]}}}],"schema":"https://github.com/citation-style-language/schema/raw/master/csl-citation.json"} </w:instrText>
      </w:r>
      <w:r w:rsidR="000E0EE9">
        <w:fldChar w:fldCharType="separate"/>
      </w:r>
      <w:r w:rsidR="0093499C" w:rsidRPr="0093499C">
        <w:t>(Ford, 1993)</w:t>
      </w:r>
      <w:r w:rsidR="000E0EE9">
        <w:fldChar w:fldCharType="end"/>
      </w:r>
      <w:r>
        <w:t>, y d</w:t>
      </w:r>
      <w:r w:rsidR="000E0EE9">
        <w:t>urante un tiempo, la publicidad desapareció del espacio público. Sin embargo, la industria fue introduciendo nuevos elementos promocionales más sutiles, basados en el patrocinio y la publicidad indirecta</w:t>
      </w:r>
      <w:r w:rsidR="002F4C98">
        <w:t xml:space="preserve"> </w:t>
      </w:r>
      <w:r w:rsidR="000E0EE9">
        <w:fldChar w:fldCharType="begin"/>
      </w:r>
      <w:r w:rsidR="0093499C">
        <w:instrText xml:space="preserve"> ADDIN ZOTERO_ITEM CSL_CITATION {"citationID":"14mbg4ovr9","properties":{"formattedCitation":"{\\rtf (Villalb\\uc0\\u237{} &amp; Benavides, 2014)}","plainCitation":"(Villalbí &amp; Benavides, 2014)"},"citationItems":[{"id":820,"uris":["http://zotero.org/groups/71722/items/754IEI2P"],"uri":["http://zotero.org/groups/71722/items/754IEI2P"],"itemData":{"id":820,"type":"article-journal","title":"[Contribute to public health from professional and scientific societies: the Working Group on Alcohol of the Spanish Society of Epidemiology]","container-title":"Rev Esp Salud Publica","page":"429-432","volume":"88","issue":"4","source":"NCBI PubMed","DOI":"10.4321/S1135-57272014000400001","ISSN":"1135-5727","note":"PMID: 25090402","shortTitle":"[Contribute to public health from professional and scientific societies","journalAbbreviation":"Rev Esp Salud Publica","language":"spa","author":[{"family":"Villalbí","given":"JR"},{"family":"Benavides","given":"F"}],"issued":{"date-parts":[["2014"]]}}}],"schema":"https://github.com/citation-style-language/schema/raw/master/csl-citation.json"} </w:instrText>
      </w:r>
      <w:r w:rsidR="000E0EE9">
        <w:fldChar w:fldCharType="separate"/>
      </w:r>
      <w:r w:rsidR="0093499C" w:rsidRPr="0093499C">
        <w:t>(</w:t>
      </w:r>
      <w:proofErr w:type="spellStart"/>
      <w:r w:rsidR="0093499C" w:rsidRPr="0093499C">
        <w:t>Villalbí</w:t>
      </w:r>
      <w:proofErr w:type="spellEnd"/>
      <w:r w:rsidR="0093499C" w:rsidRPr="0093499C">
        <w:t xml:space="preserve"> </w:t>
      </w:r>
      <w:r w:rsidR="00291E6C">
        <w:t>y</w:t>
      </w:r>
      <w:r w:rsidR="0093499C" w:rsidRPr="0093499C">
        <w:t xml:space="preserve"> Benavides, 2014)</w:t>
      </w:r>
      <w:r w:rsidR="000E0EE9">
        <w:fldChar w:fldCharType="end"/>
      </w:r>
      <w:r w:rsidR="000E0EE9">
        <w:t>. Actualmente, la presión publicitaria es notable, como en toda España</w:t>
      </w:r>
      <w:r w:rsidR="002F4C98">
        <w:t xml:space="preserve"> </w:t>
      </w:r>
      <w:r w:rsidR="000E0EE9">
        <w:fldChar w:fldCharType="begin"/>
      </w:r>
      <w:r w:rsidR="0093499C">
        <w:instrText xml:space="preserve"> ADDIN ZOTERO_ITEM CSL_CITATION {"citationID":"8QtP3wE2","properties":{"formattedCitation":"{\\rtf (Lopez-Sanchez, Garcia, &amp; Gazquez-Pertusa, 2013; S\\uc0\\u225{}nchez-Pardo, 2012)}","plainCitation":"(Lopez-Sanchez, Garcia, &amp; Gazquez-Pertusa, 2013; Sánchez-Pardo, 2012)"},"citationItems":[{"id":1313,"uris":["http://zotero.org/groups/71722/items/A5K79H2D"],"uri":["http://zotero.org/groups/71722/items/A5K79H2D"],"itemData":{"id":1313,"type":"article-journal","title":"Advertising communication influence in alcohol consumption","container-title":"Historia y comunicación social","page":"639–655","volume":"18","source":"Google Scholar","author":[{"family":"Lopez-Sanchez","given":"Carmen"},{"family":"Garcia","given":"JA"},{"family":"Gazquez-Pertusa","given":"Monica"}],"issued":{"date-parts":[["2013"]]}}},{"id":4424,"uris":["http://zotero.org/groups/71722/items/VKAJAV23"],"uri":["http://zotero.org/groups/71722/items/VKAJAV23"],"itemData":{"id":4424,"type":"book","title":"Prevención del consumo de alcohol y otras drogas en espacios de ocio. Guía para padres y madres con hijos e hijas adolescentes","publisher":"Diputación de Alicante. Area de Igualdad y Juventud","publisher-place":"Alicante","edition":"Quinta Impresión, S.L.","event-place":"Alicante","author":[{"family":"Sánchez-Pardo","given":"L"}],"issued":{"date-parts":[["2012"]]}}}],"schema":"https://github.com/citation-style-language/schema/raw/master/csl-citation.json"} </w:instrText>
      </w:r>
      <w:r w:rsidR="000E0EE9">
        <w:fldChar w:fldCharType="separate"/>
      </w:r>
      <w:r w:rsidR="0093499C" w:rsidRPr="0093499C">
        <w:t>(L</w:t>
      </w:r>
      <w:r w:rsidR="00291E6C">
        <w:t>ópez-Sá</w:t>
      </w:r>
      <w:r w:rsidR="0093499C" w:rsidRPr="0093499C">
        <w:t xml:space="preserve">nchez, </w:t>
      </w:r>
      <w:proofErr w:type="spellStart"/>
      <w:r w:rsidR="0093499C" w:rsidRPr="0093499C">
        <w:t>Garcia</w:t>
      </w:r>
      <w:proofErr w:type="spellEnd"/>
      <w:r w:rsidR="0093499C" w:rsidRPr="0093499C">
        <w:t xml:space="preserve"> </w:t>
      </w:r>
      <w:r w:rsidR="00291E6C">
        <w:t xml:space="preserve">del Castillo y </w:t>
      </w:r>
      <w:proofErr w:type="spellStart"/>
      <w:r w:rsidR="00291E6C">
        <w:t>Gá</w:t>
      </w:r>
      <w:r w:rsidR="0093499C" w:rsidRPr="0093499C">
        <w:t>zquez</w:t>
      </w:r>
      <w:proofErr w:type="spellEnd"/>
      <w:r w:rsidR="0093499C" w:rsidRPr="0093499C">
        <w:t>-Pertusa, 2013; Sánchez-Pardo, 2012)</w:t>
      </w:r>
      <w:r w:rsidR="000E0EE9">
        <w:fldChar w:fldCharType="end"/>
      </w:r>
      <w:r w:rsidR="000E0EE9">
        <w:t xml:space="preserve">. </w:t>
      </w:r>
      <w:r>
        <w:t xml:space="preserve">Por otra parte, los estudios internacionales sugieren que hay una asociación entre la disponibilidad del alcohol y el volumen consumido, así como con el daño que causa </w:t>
      </w:r>
      <w:r>
        <w:rPr>
          <w:color w:val="auto"/>
        </w:rPr>
        <w:fldChar w:fldCharType="begin"/>
      </w:r>
      <w:r>
        <w:rPr>
          <w:color w:val="auto"/>
        </w:rPr>
        <w:instrText xml:space="preserve"> ADDIN ZOTERO_ITEM CSL_CITATION {"citationID":"1em7hbnt22","properties":{"formattedCitation":"(Popova, Giesbrecht, Bekmuradov, &amp; Patra, 2009)","plainCitation":"(Popova, Giesbrecht, Bekmuradov, &amp; Patra, 2009)"},"citationItems":[{"id":2576,"uris":["http://zotero.org/groups/71722/items/HPSHNDW8"],"uri":["http://zotero.org/groups/71722/items/HPSHNDW8"],"itemData":{"id":2576,"type":"article-journal","title":"Hours and days of sale and density of alcohol outlets: impacts on alcohol consumption and damage: a systematic review","container-title":"Alcohol Alcohol","page":"500-516","volume":"44","issue":"5","source":"PubMed","abstract":"AIMS: The aim of this study was to examine recent research studies published from 2000 to 2008 focusing on availability of alcohol: hours and days of sale and density of alcohol outlets.\nMETHODS: Systematic review.\nRESULTS: Forty-four studies on density of alcohol outlets and 15 studies on hours and days of sale were identified through a systematic literature search. The majority of studies reviewed found that alcohol outlet density and hours and days of sale had an impact on one or more of the three main outcome variables, such as overall alcohol consumption, drinking patterns and damage from alcohol.\nCONCLUSIONS: Restricting availability of alcohol is an effective measure to prevent alcohol-attributable harm.","DOI":"10.1093/alcalc/agp054","ISSN":"1464-3502","note":"PMID: 19734159","shortTitle":"Hours and days of sale and density of alcohol outlets","journalAbbreviation":"Alcohol Alcohol","language":"eng","author":[{"family":"Popova","given":"Svetlana"},{"family":"Giesbrecht","given":"Norman"},{"family":"Bekmuradov","given":"Dennis"},{"family":"Patra","given":"Jayadeep"}],"issued":{"date-parts":[["2009"]]}}}],"schema":"https://github.com/citation-style-language/schema/raw/master/csl-citation.json"} </w:instrText>
      </w:r>
      <w:r>
        <w:rPr>
          <w:color w:val="auto"/>
        </w:rPr>
        <w:fldChar w:fldCharType="separate"/>
      </w:r>
      <w:r w:rsidRPr="0093499C">
        <w:t>(</w:t>
      </w:r>
      <w:proofErr w:type="spellStart"/>
      <w:r w:rsidRPr="0093499C">
        <w:t>Popova</w:t>
      </w:r>
      <w:proofErr w:type="spellEnd"/>
      <w:r w:rsidRPr="0093499C">
        <w:t xml:space="preserve">, </w:t>
      </w:r>
      <w:proofErr w:type="spellStart"/>
      <w:r w:rsidRPr="0093499C">
        <w:t>Giesbrecht</w:t>
      </w:r>
      <w:proofErr w:type="spellEnd"/>
      <w:r w:rsidRPr="0093499C">
        <w:t xml:space="preserve">, </w:t>
      </w:r>
      <w:proofErr w:type="spellStart"/>
      <w:r w:rsidRPr="0093499C">
        <w:t>Bekmuradov</w:t>
      </w:r>
      <w:proofErr w:type="spellEnd"/>
      <w:r w:rsidR="00291E6C">
        <w:t xml:space="preserve"> y</w:t>
      </w:r>
      <w:r w:rsidRPr="0093499C">
        <w:t xml:space="preserve"> </w:t>
      </w:r>
      <w:proofErr w:type="spellStart"/>
      <w:r w:rsidRPr="0093499C">
        <w:t>Patra</w:t>
      </w:r>
      <w:proofErr w:type="spellEnd"/>
      <w:r w:rsidRPr="0093499C">
        <w:t>, 2009)</w:t>
      </w:r>
      <w:r>
        <w:rPr>
          <w:color w:val="auto"/>
        </w:rPr>
        <w:fldChar w:fldCharType="end"/>
      </w:r>
      <w:r>
        <w:t xml:space="preserve">. En España, la comercialización de </w:t>
      </w:r>
      <w:r>
        <w:lastRenderedPageBreak/>
        <w:t>bebidas alcohólicas no precisa de licencia específica por lo que gran parte del comercio alimentario puede vender alcohol sin que haya un registro específico. E</w:t>
      </w:r>
      <w:r w:rsidR="000E0EE9">
        <w:t>n los últimos años</w:t>
      </w:r>
      <w:r>
        <w:t>,</w:t>
      </w:r>
      <w:r w:rsidR="000E0EE9">
        <w:t xml:space="preserve"> la desregulación de los horarios comerciales parece haber conllevado un incremento general de la disponibilidad de bebidas alcohólicas a bajo coste en el medio urbano, especialmente por la noche y los fines de semana </w:t>
      </w:r>
      <w:r w:rsidR="002F4C98">
        <w:t xml:space="preserve"> </w:t>
      </w:r>
      <w:r w:rsidR="000E0EE9">
        <w:fldChar w:fldCharType="begin"/>
      </w:r>
      <w:r w:rsidR="0093499C">
        <w:instrText xml:space="preserve"> ADDIN ZOTERO_ITEM CSL_CITATION {"citationID":"0SeV6MEg","properties":{"formattedCitation":"{\\rtf (Sureda, Villalb\\uc0\\u237{}, Espelt, &amp; Franco, 2017; Villalb\\uc0\\u237{} et al., 2015)}","plainCitation":"(Sureda, Villalbí, Espelt, &amp; Franco, 2017; Villalbí et al., 2015)"},"citationItems":[{"id":4281,"uris":["http://zotero.org/groups/71722/items/UKB7Z9MA"],"uri":["http://zotero.org/groups/71722/items/UKB7Z9MA"],"itemData":{"id":4281,"type":"article-journal","title":"Enforcing regulations on alcohol sales and use as universal environmental prevention","container-title":"Adicciones","page":"288-293","volume":"27","issue":"4","abstract":"The informal social control over alcohol consumption that was traditional in Southern European countries has weakened. At the same time there is an increase in binge drinking and drunkenness among young people in Spain. To mitigate this problem, regulations on alcohol and driving and restrictions on the sale and consumption of alcohol have been adopted. This paper documents the current regulations in the city of Barcelona and describes efforts to enforce them and their outcomes. Data from the municipal information systems on infringements reported for the period 2008-13 are provided. \n\nThere is an increasing pressure of municipal services to enforce the rules in two areas: a) alcohol sales at night (retailers); and b) consumption in the public space (citizens). An increase in the controls of drink-driving has also taken place, and the proportion above legal limits has decreased. The largest relative increase occurred in the control of retailers. \n\nIn Barcelona interventions are made to limit the supply and consumption of alcohol at low cost and during the night, and of driving under the influence of alcohol. There have been no documented episodes of massive drinking in public spaces (known as ‘botellón’) in the city. These actions, which complement other preventive efforts based on health education, can change the social perceptions of alcohol by minors in a direction less favorable to consumption, promoting environmental prevention.","journalAbbreviation":"Adicciones","author":[{"family":"Villalbí","given":"JR"},{"family":"Bartroli","given":"M"},{"family":"Bosque-Prous","given":"M"},{"family":"Guitart","given":"AM"},{"family":"Serra-Batiste","given":"E"},{"family":"Casas","given":"C"},{"family":"Brugal","given":"MT"}],"issued":{"date-parts":[["2015"]]}}},{"id":435,"uris":["http://zotero.org/groups/71722/items/4T4WI86K"],"uri":["http://zotero.org/groups/71722/items/4T4WI86K"],"itemData":{"id":435,"type":"article-journal","title":"Living under the influence: normalisation of alcohol consumption in our cities","container-title":"Gac Sanit","page":"66-8","volume":"31","issue":"1","source":"gacetasanitaria.org","DOI":"10.1016/j.gaceta.2016.07.018","ISSN":"0213-9111","shortTitle":"Living under the influence","journalAbbreviation":"Gac Sanit","language":"es","author":[{"family":"Sureda","given":"Xisca"},{"family":"Villalbí","given":"Joan R."},{"family":"Espelt","given":"Albert"},{"family":"Franco","given":"Manuel"}],"issued":{"date-parts":[["2017"]]}}}],"schema":"https://github.com/citation-style-language/schema/raw/master/csl-citation.json"} </w:instrText>
      </w:r>
      <w:r w:rsidR="000E0EE9">
        <w:fldChar w:fldCharType="separate"/>
      </w:r>
      <w:r w:rsidR="0093499C" w:rsidRPr="0093499C">
        <w:t xml:space="preserve">(Sureda, </w:t>
      </w:r>
      <w:proofErr w:type="spellStart"/>
      <w:r w:rsidR="0093499C" w:rsidRPr="0093499C">
        <w:t>Villalbí</w:t>
      </w:r>
      <w:proofErr w:type="spellEnd"/>
      <w:r w:rsidR="0093499C" w:rsidRPr="0093499C">
        <w:t xml:space="preserve">, </w:t>
      </w:r>
      <w:proofErr w:type="spellStart"/>
      <w:r w:rsidR="0093499C" w:rsidRPr="0093499C">
        <w:t>Espelt</w:t>
      </w:r>
      <w:proofErr w:type="spellEnd"/>
      <w:r w:rsidR="00291E6C">
        <w:t xml:space="preserve"> y</w:t>
      </w:r>
      <w:r w:rsidR="0093499C" w:rsidRPr="0093499C">
        <w:t xml:space="preserve"> Franco, 2017; </w:t>
      </w:r>
      <w:proofErr w:type="spellStart"/>
      <w:r w:rsidR="0093499C" w:rsidRPr="0093499C">
        <w:t>Villalbí</w:t>
      </w:r>
      <w:proofErr w:type="spellEnd"/>
      <w:r w:rsidR="0093499C" w:rsidRPr="0093499C">
        <w:t xml:space="preserve"> et al., 2015)</w:t>
      </w:r>
      <w:r w:rsidR="000E0EE9">
        <w:fldChar w:fldCharType="end"/>
      </w:r>
      <w:r w:rsidR="000E0EE9">
        <w:t>.</w:t>
      </w:r>
      <w:r w:rsidR="002F4C98">
        <w:t xml:space="preserve"> </w:t>
      </w:r>
      <w:r w:rsidR="00E954F0">
        <w:t>En nuestro medio, h</w:t>
      </w:r>
      <w:r w:rsidR="000E0EE9">
        <w:t>asta ahora no tenemos datos objetivos y empíricos que nos permit</w:t>
      </w:r>
      <w:r w:rsidR="00170685">
        <w:t>a</w:t>
      </w:r>
      <w:r w:rsidR="000E0EE9">
        <w:t xml:space="preserve">n </w:t>
      </w:r>
      <w:r w:rsidR="00E954F0">
        <w:t xml:space="preserve">cuantificar </w:t>
      </w:r>
      <w:r w:rsidR="000E0EE9">
        <w:t>la exposición a elementos urbanos que pueden influir en el consumo de alcohol.</w:t>
      </w:r>
      <w:r w:rsidR="00E954F0">
        <w:t xml:space="preserve"> Por ello nos planteamos este estudio. Su </w:t>
      </w:r>
      <w:r w:rsidR="000E0EE9">
        <w:t>objetivo fue cuantificar tres aspectos relacionados con las bebidas alcohólicas en la ciudad de Barcelona: los establecimientos que las ofrecían, los elementos de publicidad y promoción visibles, y los indicios de consumo en el espacio público, y explorar la posible relación entre ellos.</w:t>
      </w:r>
    </w:p>
    <w:p w:rsidR="000E0EE9" w:rsidRDefault="000E0EE9">
      <w:pPr>
        <w:spacing w:before="480" w:line="360" w:lineRule="auto"/>
        <w:jc w:val="both"/>
        <w:rPr>
          <w:b/>
          <w:bCs/>
        </w:rPr>
      </w:pPr>
      <w:r>
        <w:rPr>
          <w:b/>
          <w:bCs/>
        </w:rPr>
        <w:t>Métodos</w:t>
      </w:r>
    </w:p>
    <w:p w:rsidR="00274E54" w:rsidRDefault="00274E54">
      <w:pPr>
        <w:pStyle w:val="Textoindependiente2"/>
        <w:spacing w:before="240" w:line="360" w:lineRule="auto"/>
      </w:pPr>
      <w:r w:rsidRPr="007C1687">
        <w:rPr>
          <w:b/>
        </w:rPr>
        <w:t>Diseño y muestreo</w:t>
      </w:r>
      <w:r>
        <w:t xml:space="preserve">. </w:t>
      </w:r>
      <w:r w:rsidR="000E0EE9">
        <w:t xml:space="preserve">Se realizó un estudio observacional descriptivo en la ciudad de Barcelona (Cataluña, España) en noviembre  de 2015. Se realizó un muestreo por conglomerados tomando como unidad </w:t>
      </w:r>
      <w:proofErr w:type="spellStart"/>
      <w:r w:rsidR="000E0EE9">
        <w:t>muestral</w:t>
      </w:r>
      <w:proofErr w:type="spellEnd"/>
      <w:r w:rsidR="000E0EE9">
        <w:t xml:space="preserve"> la sección censal, unidad territorial relativamente homogénea en términos de población residente (se estima una media de 1.600 habitantes y 1.000 electores por sección) en la que el ayuntamiento divide la ciudad. La selección fue </w:t>
      </w:r>
      <w:proofErr w:type="spellStart"/>
      <w:r w:rsidR="000E0EE9">
        <w:t>bietápica</w:t>
      </w:r>
      <w:proofErr w:type="spellEnd"/>
      <w:r w:rsidR="000E0EE9">
        <w:t>. En primer lugar se seleccionaron dos barrios por cada uno de los diez distritos, elegidos en función de su</w:t>
      </w:r>
      <w:r w:rsidR="008E748E">
        <w:t xml:space="preserve"> población (se excluyeron los siete barrios con población inferior a cinco mil residentes) y su</w:t>
      </w:r>
      <w:r w:rsidR="000E0EE9">
        <w:t>s indicadores socioeconómicos (</w:t>
      </w:r>
      <w:r w:rsidR="00B96358">
        <w:t xml:space="preserve">en cada distrito </w:t>
      </w:r>
      <w:r w:rsidR="008E748E">
        <w:t xml:space="preserve">se incluyeron los dos </w:t>
      </w:r>
      <w:r w:rsidR="000E0EE9">
        <w:t>barrios con mayor y menor paro registrado),</w:t>
      </w:r>
      <w:r w:rsidR="008E748E">
        <w:t xml:space="preserve"> obteniendo así veinte barrios que</w:t>
      </w:r>
      <w:r w:rsidR="000E0EE9">
        <w:t xml:space="preserve"> reflejan la variabilidad de la ciudad. En segundo lugar, dentro de cada barrio, se seleccionó de forma aleatoria una sección censal, y los observadores recorrieron exhaustivamente toda la vía pública comprendida dentro de los </w:t>
      </w:r>
      <w:r w:rsidR="000E0EE9" w:rsidRPr="00201140">
        <w:t xml:space="preserve">límites de la sección, realizando de lunes a viernes una observación en cada una de las siguientes franjas horarias: </w:t>
      </w:r>
      <w:r w:rsidRPr="00201140">
        <w:t>mañana</w:t>
      </w:r>
      <w:r w:rsidR="000E0EE9" w:rsidRPr="00201140">
        <w:t xml:space="preserve"> (de 11 a 14 horas), </w:t>
      </w:r>
      <w:r w:rsidRPr="00201140">
        <w:t>tarde</w:t>
      </w:r>
      <w:r w:rsidR="000E0EE9" w:rsidRPr="00201140">
        <w:t xml:space="preserve"> (de 17 a 21 horas), y noc</w:t>
      </w:r>
      <w:r w:rsidRPr="00201140">
        <w:t>he</w:t>
      </w:r>
      <w:r w:rsidR="001F3628" w:rsidRPr="00201140">
        <w:t xml:space="preserve"> (a partir de las 23 horas)</w:t>
      </w:r>
      <w:r w:rsidR="00B96358" w:rsidRPr="00201140">
        <w:t xml:space="preserve">. De este modo se </w:t>
      </w:r>
      <w:r w:rsidR="002559BC" w:rsidRPr="00201140">
        <w:t xml:space="preserve">obtuvieron datos de </w:t>
      </w:r>
      <w:r w:rsidR="001F3628" w:rsidRPr="00201140">
        <w:t xml:space="preserve">60 </w:t>
      </w:r>
      <w:r w:rsidR="002559BC" w:rsidRPr="00201140">
        <w:t xml:space="preserve">episodios de </w:t>
      </w:r>
      <w:r w:rsidR="001F3628" w:rsidRPr="00201140">
        <w:t>observaci</w:t>
      </w:r>
      <w:r w:rsidR="002559BC" w:rsidRPr="00201140">
        <w:t>ón</w:t>
      </w:r>
      <w:r w:rsidR="001F3628" w:rsidRPr="00201140">
        <w:t>.</w:t>
      </w:r>
      <w:r w:rsidR="000E0EE9">
        <w:t xml:space="preserve"> </w:t>
      </w:r>
    </w:p>
    <w:p w:rsidR="001F3628" w:rsidRDefault="00274E54">
      <w:pPr>
        <w:pStyle w:val="Textoindependiente2"/>
        <w:spacing w:before="240" w:line="360" w:lineRule="auto"/>
      </w:pPr>
      <w:r w:rsidRPr="007C1687">
        <w:rPr>
          <w:b/>
        </w:rPr>
        <w:lastRenderedPageBreak/>
        <w:t xml:space="preserve">Instrumento </w:t>
      </w:r>
      <w:r w:rsidR="001F3628" w:rsidRPr="007C1687">
        <w:rPr>
          <w:b/>
        </w:rPr>
        <w:t xml:space="preserve">y proceso </w:t>
      </w:r>
      <w:r w:rsidRPr="007C1687">
        <w:rPr>
          <w:b/>
        </w:rPr>
        <w:t>de recogida de datos</w:t>
      </w:r>
      <w:r>
        <w:t xml:space="preserve">. </w:t>
      </w:r>
      <w:r w:rsidR="001F3628">
        <w:t>Los datos se registraron en un cuestionario estandarizado en formato papel, desarrollado por el equipo de investigación tras una prueba piloto</w:t>
      </w:r>
      <w:r w:rsidR="00714E95">
        <w:t xml:space="preserve"> </w:t>
      </w:r>
      <w:r w:rsidR="00714E95">
        <w:fldChar w:fldCharType="begin"/>
      </w:r>
      <w:r w:rsidR="00464402">
        <w:instrText xml:space="preserve"> ADDIN ZOTERO_ITEM CSL_CITATION {"citationID":"2osmo6083v","properties":{"formattedCitation":"(Sureda et al., 2017)","plainCitation":"(Sureda et al., 2017)"},"citationItems":[{"id":435,"uris":["http://zotero.org/groups/71722/items/4T4WI86K"],"uri":["http://zotero.org/groups/71722/items/4T4WI86K"],"itemData":{"id":435,"type":"article-journal","title":"Living under the influence: normalisation of alcohol consumption in our cities","container-title":"Gac Sanit","page":"66-8","volume":"31","issue":"1","source":"gacetasanitaria.org","DOI":"10.1016/j.gaceta.2016.07.018","ISSN":"0213-9111","shortTitle":"Living under the influence","journalAbbreviation":"Gac Sanit","language":"es","author":[{"family":"Sureda","given":"Xisca"},{"family":"Villalbí","given":"Joan R."},{"family":"Espelt","given":"Albert"},{"family":"Franco","given":"Manuel"}],"issued":{"date-parts":[["2017"]]}}}],"schema":"https://github.com/citation-style-language/schema/raw/master/csl-citation.json"} </w:instrText>
      </w:r>
      <w:r w:rsidR="00714E95">
        <w:fldChar w:fldCharType="separate"/>
      </w:r>
      <w:r w:rsidR="0093499C" w:rsidRPr="0093499C">
        <w:t>(Sureda et al., 2017)</w:t>
      </w:r>
      <w:r w:rsidR="00714E95">
        <w:fldChar w:fldCharType="end"/>
      </w:r>
      <w:r w:rsidR="0093499C">
        <w:t xml:space="preserve"> </w:t>
      </w:r>
      <w:r w:rsidR="00B96358">
        <w:t xml:space="preserve">y </w:t>
      </w:r>
      <w:r w:rsidR="0093499C">
        <w:t xml:space="preserve">posteriormente validado, </w:t>
      </w:r>
      <w:r w:rsidR="00B96358">
        <w:t>con</w:t>
      </w:r>
      <w:r w:rsidR="0093499C">
        <w:t xml:space="preserve"> elevados porcentajes de acorde inter </w:t>
      </w:r>
      <w:r w:rsidR="00B96358">
        <w:t>e</w:t>
      </w:r>
      <w:r w:rsidR="0093499C">
        <w:t xml:space="preserve"> </w:t>
      </w:r>
      <w:proofErr w:type="spellStart"/>
      <w:r w:rsidR="00B96358">
        <w:t>i</w:t>
      </w:r>
      <w:r w:rsidR="0093499C">
        <w:t>ntra</w:t>
      </w:r>
      <w:proofErr w:type="spellEnd"/>
      <w:r w:rsidR="0093499C">
        <w:t xml:space="preserve"> observador </w:t>
      </w:r>
      <w:r w:rsidR="0093499C">
        <w:fldChar w:fldCharType="begin"/>
      </w:r>
      <w:r w:rsidR="0093499C">
        <w:instrText xml:space="preserve"> ADDIN ZOTERO_ITEM CSL_CITATION {"citationID":"a2c5i0ediss","properties":{"formattedCitation":"(Ruiz-Perez, 2016)","plainCitation":"(Ruiz-Perez, 2016)"},"citationItems":[{"id":4241,"uris":["http://zotero.org/groups/71722/items/UBF8R5CN"],"uri":["http://zotero.org/groups/71722/items/UBF8R5CN"],"itemData":{"id":4241,"type":"thesis","title":"Entorno urbano y consumo de alcohol: diseño y validación de un instrumento de medida y caracterización del entorno de alcohol en Madrid","publisher":"Universidad Francisco de Vitoria","author":[{"family":"Ruiz-Perez","given":"G"}],"issued":{"date-parts":[["2016"]]}}}],"schema":"https://github.com/citation-style-language/schema/raw/master/csl-citation.json"} </w:instrText>
      </w:r>
      <w:r w:rsidR="0093499C">
        <w:fldChar w:fldCharType="separate"/>
      </w:r>
      <w:r w:rsidR="0093499C" w:rsidRPr="0093499C">
        <w:t>(Ruiz-P</w:t>
      </w:r>
      <w:r w:rsidR="00B96358">
        <w:t>é</w:t>
      </w:r>
      <w:r w:rsidR="0093499C" w:rsidRPr="0093499C">
        <w:t>rez, 2016)</w:t>
      </w:r>
      <w:r w:rsidR="0093499C">
        <w:fldChar w:fldCharType="end"/>
      </w:r>
      <w:r w:rsidR="001F3628">
        <w:t>.</w:t>
      </w:r>
      <w:r w:rsidR="00714E95">
        <w:t xml:space="preserve"> </w:t>
      </w:r>
      <w:r w:rsidR="000E0EE9">
        <w:t xml:space="preserve">La recogida de datos se realizó por un único equipo de dos observadores </w:t>
      </w:r>
      <w:r w:rsidR="001F3628">
        <w:t xml:space="preserve">previamente </w:t>
      </w:r>
      <w:r w:rsidR="000E0EE9">
        <w:t xml:space="preserve">entrenados, </w:t>
      </w:r>
      <w:r w:rsidR="001F3628">
        <w:t xml:space="preserve">que trabajaron de forma simultánea realizando trayectos inversos en cada zona y dirimiendo </w:t>
      </w:r>
      <w:r w:rsidR="001F3628" w:rsidRPr="001F3628">
        <w:rPr>
          <w:i/>
        </w:rPr>
        <w:t>in situ</w:t>
      </w:r>
      <w:r w:rsidR="001F3628">
        <w:t xml:space="preserve"> las posibles discrepancias</w:t>
      </w:r>
      <w:r w:rsidR="000E0EE9" w:rsidRPr="001F3628">
        <w:t xml:space="preserve">. </w:t>
      </w:r>
      <w:r w:rsidR="000E0EE9">
        <w:t>Los observadores fotografiaron los elementos que les planteaban dudas de clasificación para poder decidir posteriormente su clasificación apropiada con l</w:t>
      </w:r>
      <w:r w:rsidR="005748D8">
        <w:t xml:space="preserve">a persona que supervisaba la recogida de datos. </w:t>
      </w:r>
      <w:r w:rsidR="00714E95">
        <w:t>É</w:t>
      </w:r>
      <w:r w:rsidR="005748D8">
        <w:t xml:space="preserve">sta revisó un </w:t>
      </w:r>
      <w:r w:rsidR="001F3628" w:rsidRPr="00201140">
        <w:t>10</w:t>
      </w:r>
      <w:r w:rsidR="005748D8" w:rsidRPr="00201140">
        <w:t xml:space="preserve">% de las </w:t>
      </w:r>
      <w:r w:rsidR="001F3628" w:rsidRPr="00201140">
        <w:t xml:space="preserve">60 observaciones </w:t>
      </w:r>
      <w:r w:rsidR="005748D8" w:rsidRPr="00201140">
        <w:t>para comprobar la bondad del registro</w:t>
      </w:r>
      <w:r w:rsidR="000E0EE9" w:rsidRPr="00201140">
        <w:t xml:space="preserve">. </w:t>
      </w:r>
      <w:r w:rsidR="002559BC" w:rsidRPr="00201140">
        <w:t>La base de datos definitiva recogió así la información extraída finalmente de tres franjas horarias en las 20 zonas.</w:t>
      </w:r>
    </w:p>
    <w:p w:rsidR="000E0EE9" w:rsidRDefault="00274E54">
      <w:pPr>
        <w:pStyle w:val="Textoindependiente2"/>
        <w:spacing w:before="240" w:line="360" w:lineRule="auto"/>
      </w:pPr>
      <w:r w:rsidRPr="007C1687">
        <w:rPr>
          <w:b/>
        </w:rPr>
        <w:t>Variables</w:t>
      </w:r>
      <w:r>
        <w:t>.</w:t>
      </w:r>
      <w:r w:rsidR="000E0EE9">
        <w:t xml:space="preserve"> </w:t>
      </w:r>
      <w:r>
        <w:t xml:space="preserve">La variable independiente </w:t>
      </w:r>
      <w:r w:rsidR="001E5000">
        <w:t>es el distrito.</w:t>
      </w:r>
      <w:r w:rsidR="00B96358">
        <w:t xml:space="preserve"> </w:t>
      </w:r>
      <w:r>
        <w:t xml:space="preserve">Las variables dependientes son los establecimientos que venden bebidas alcohólicas, los elementos promocionales del alcohol, y los indicios de consumo en el espacio público. </w:t>
      </w:r>
      <w:r w:rsidR="001E5000">
        <w:t xml:space="preserve">La franja horaria se trata como una variable independiente contextual. </w:t>
      </w:r>
      <w:r>
        <w:t xml:space="preserve">Los </w:t>
      </w:r>
      <w:r w:rsidR="000E0EE9">
        <w:t xml:space="preserve">establecimientos </w:t>
      </w:r>
      <w:r>
        <w:t xml:space="preserve">se clasificaron según su tipología, agrupándolos luego según si en ellos </w:t>
      </w:r>
      <w:r w:rsidR="000E0EE9">
        <w:t>se vende y consume</w:t>
      </w:r>
      <w:r>
        <w:t xml:space="preserve"> o</w:t>
      </w:r>
      <w:r w:rsidR="000E0EE9">
        <w:t xml:space="preserve"> </w:t>
      </w:r>
      <w:r>
        <w:t xml:space="preserve">si </w:t>
      </w:r>
      <w:r w:rsidR="000E0EE9">
        <w:t>se vende pero no se consume</w:t>
      </w:r>
      <w:r>
        <w:t xml:space="preserve"> (bares, cafeterías o restaurantes vs. comercio</w:t>
      </w:r>
      <w:r w:rsidR="000E0EE9">
        <w:t>)</w:t>
      </w:r>
      <w:r>
        <w:t>. L</w:t>
      </w:r>
      <w:r w:rsidR="000E0EE9">
        <w:t xml:space="preserve">os elementos presentes en la vía urbana que hicieran referencia a bebidas alcohólicas o marcas comerciales de bebidas alcohólicas </w:t>
      </w:r>
      <w:r>
        <w:t>se separaron entre los publicitarios (</w:t>
      </w:r>
      <w:r w:rsidR="000E0EE9">
        <w:t>publicidad directa o indirecta</w:t>
      </w:r>
      <w:r w:rsidR="006A7BF9">
        <w:t xml:space="preserve"> y de patrocinio</w:t>
      </w:r>
      <w:r>
        <w:t>)</w:t>
      </w:r>
      <w:r w:rsidR="000E0EE9">
        <w:t xml:space="preserve">, y otros elementos de promoción de bebidas </w:t>
      </w:r>
      <w:r>
        <w:t>alcohólicas</w:t>
      </w:r>
      <w:r w:rsidR="006A7BF9">
        <w:t xml:space="preserve"> (como elementos con marcas de bebidas en los establecimientos que venden alcohol o en sus terrazas</w:t>
      </w:r>
      <w:r>
        <w:t>). L</w:t>
      </w:r>
      <w:r w:rsidR="000E0EE9">
        <w:t xml:space="preserve">os indicios de consumo </w:t>
      </w:r>
      <w:r>
        <w:t xml:space="preserve">fueron los elementos </w:t>
      </w:r>
      <w:r w:rsidR="000E0EE9">
        <w:t xml:space="preserve">vistos en el espacio público fuera de las terrazas de los establecimientos donde se permite, como personas bebiendo, envases abandonados, u otros rastros de consumo (vasos abandonados, envases de vidrio rotos...). </w:t>
      </w:r>
      <w:r w:rsidR="006A7BF9">
        <w:t>Posteriormente s</w:t>
      </w:r>
      <w:r w:rsidR="000E0EE9">
        <w:t xml:space="preserve">e construyeron cuatro variables sintéticas para comparar los territorios. La variable sintética 1 (VS1) combina la oferta y disponibilidad de bebidas alcohólicas (sumando los establecimientos de cualquier tipo que las ofrecen en las dos secciones censales observadas en cada distrito). La variable sintética 2 (VS2) combina los elementos promocionales y de publicidad observados en cada </w:t>
      </w:r>
      <w:r w:rsidR="000E0EE9">
        <w:lastRenderedPageBreak/>
        <w:t>distrito. La variable sintética 3 (VS3) suma los valores de VS1 y VS2, con el fin de reflejar en cada territorio la suma de oferta y promoción de alcohol que se considera estímulo al consumo. La variable sintética 4 (VS4) intenta reflejar la visibilidad de consumo de alcohol en el espacio público, sumando las observaciones de indicios de consumo que reflejan prácticas socialmente inapropiadas (personas consumiendo en el espacio público fuera de las terrazas de los establecimientos, envases abandonados, restos de vasos y botellas...).</w:t>
      </w:r>
    </w:p>
    <w:p w:rsidR="000E0EE9" w:rsidRDefault="006A7BF9" w:rsidP="00714E95">
      <w:pPr>
        <w:pStyle w:val="Textoindependiente2"/>
        <w:spacing w:before="240" w:line="360" w:lineRule="auto"/>
      </w:pPr>
      <w:r w:rsidRPr="0093499C">
        <w:rPr>
          <w:b/>
        </w:rPr>
        <w:t>Análisis.</w:t>
      </w:r>
      <w:r>
        <w:t xml:space="preserve"> </w:t>
      </w:r>
      <w:r w:rsidR="000E0EE9">
        <w:t xml:space="preserve">Los datos se analizaron mediante el paquete SPSS 18.0. </w:t>
      </w:r>
      <w:r w:rsidR="00714E95">
        <w:t xml:space="preserve">La unidad de análisis fue el territorio (sección censal, y barrio o distrito en el que se encuentra). </w:t>
      </w:r>
      <w:r w:rsidR="000E0EE9">
        <w:t xml:space="preserve">Se presentan de manera descriptiva los resultados. Mediante </w:t>
      </w:r>
      <w:r w:rsidR="00714E95">
        <w:t xml:space="preserve">dos </w:t>
      </w:r>
      <w:r w:rsidR="000E0EE9">
        <w:t>regresi</w:t>
      </w:r>
      <w:r>
        <w:t>ones</w:t>
      </w:r>
      <w:r w:rsidR="000E0EE9">
        <w:t xml:space="preserve"> lineal</w:t>
      </w:r>
      <w:r>
        <w:t>es</w:t>
      </w:r>
      <w:r w:rsidR="000E0EE9">
        <w:t xml:space="preserve"> simple</w:t>
      </w:r>
      <w:r>
        <w:t>s</w:t>
      </w:r>
      <w:r w:rsidR="000E0EE9">
        <w:t xml:space="preserve"> con l</w:t>
      </w:r>
      <w:r>
        <w:t>os valores de l</w:t>
      </w:r>
      <w:r w:rsidR="000E0EE9">
        <w:t xml:space="preserve">as variables sintéticas </w:t>
      </w:r>
      <w:r>
        <w:t xml:space="preserve">en los distritos (n=10) </w:t>
      </w:r>
      <w:r w:rsidR="000E0EE9">
        <w:t xml:space="preserve">se analiza </w:t>
      </w:r>
      <w:r>
        <w:t xml:space="preserve">sucesivamente </w:t>
      </w:r>
      <w:r w:rsidR="000E0EE9">
        <w:t xml:space="preserve">la </w:t>
      </w:r>
      <w:r w:rsidR="00714E95">
        <w:t>relación</w:t>
      </w:r>
      <w:r w:rsidR="000E0EE9">
        <w:t xml:space="preserve"> entre oferta y promoción</w:t>
      </w:r>
      <w:r>
        <w:t xml:space="preserve"> (VS1 y VS2)</w:t>
      </w:r>
      <w:r w:rsidR="000E0EE9">
        <w:t xml:space="preserve">, y entre </w:t>
      </w:r>
      <w:r w:rsidR="00714E95">
        <w:t xml:space="preserve">la variable sintética que las agrupa </w:t>
      </w:r>
      <w:r w:rsidR="000E0EE9">
        <w:t>y los indicios de consumo</w:t>
      </w:r>
      <w:r>
        <w:t xml:space="preserve"> (VS3 y VS4</w:t>
      </w:r>
      <w:r w:rsidR="00714E95">
        <w:t>)</w:t>
      </w:r>
      <w:r w:rsidR="000E0EE9">
        <w:t>.</w:t>
      </w:r>
    </w:p>
    <w:p w:rsidR="000E0EE9" w:rsidRDefault="000E0EE9">
      <w:pPr>
        <w:spacing w:before="480" w:line="360" w:lineRule="auto"/>
        <w:jc w:val="both"/>
        <w:rPr>
          <w:b/>
          <w:bCs/>
        </w:rPr>
      </w:pPr>
      <w:r>
        <w:rPr>
          <w:b/>
          <w:bCs/>
        </w:rPr>
        <w:t>Resultados</w:t>
      </w:r>
    </w:p>
    <w:p w:rsidR="000E0EE9" w:rsidRDefault="000E0EE9">
      <w:pPr>
        <w:spacing w:before="240" w:line="360" w:lineRule="auto"/>
        <w:jc w:val="both"/>
        <w:rPr>
          <w:rStyle w:val="Refdecomentario"/>
          <w:rFonts w:ascii="Arial" w:hAnsi="Arial" w:cs="Arial"/>
        </w:rPr>
      </w:pPr>
      <w:r w:rsidRPr="0093499C">
        <w:rPr>
          <w:b/>
          <w:color w:val="auto"/>
        </w:rPr>
        <w:t>Oferta y disponibilidad</w:t>
      </w:r>
      <w:r>
        <w:rPr>
          <w:color w:val="auto"/>
        </w:rPr>
        <w:t xml:space="preserve">. </w:t>
      </w:r>
      <w:r>
        <w:rPr>
          <w:rFonts w:eastAsia="MS PGothic"/>
          <w:color w:val="auto"/>
        </w:rPr>
        <w:t xml:space="preserve">En las 20 secciones censales estudiadas se identificaron un total de 306 establecimientos que ofrecían bebidas alcohólicas (una media de 15,3 por sección, y oscilando entre 3 y 51). Teniendo en cuenta que a una sección censal en la ciudad le corresponden de </w:t>
      </w:r>
      <w:proofErr w:type="gramStart"/>
      <w:r>
        <w:rPr>
          <w:rFonts w:eastAsia="MS PGothic"/>
          <w:color w:val="auto"/>
        </w:rPr>
        <w:t>media</w:t>
      </w:r>
      <w:proofErr w:type="gramEnd"/>
      <w:r>
        <w:rPr>
          <w:rFonts w:eastAsia="MS PGothic"/>
          <w:color w:val="auto"/>
        </w:rPr>
        <w:t xml:space="preserve"> 1.600 residentes, son 9,6 establecimientos que ofrecen bebidas alcohólicas por 1.000 </w:t>
      </w:r>
      <w:r w:rsidRPr="00201140">
        <w:rPr>
          <w:rFonts w:eastAsia="MS PGothic"/>
          <w:color w:val="auto"/>
        </w:rPr>
        <w:t xml:space="preserve">habitantes. El 67% eran locales de venta y consumo, </w:t>
      </w:r>
      <w:r w:rsidR="006A7BF9" w:rsidRPr="00201140">
        <w:rPr>
          <w:rFonts w:eastAsia="MS PGothic"/>
          <w:color w:val="auto"/>
        </w:rPr>
        <w:t xml:space="preserve">y </w:t>
      </w:r>
      <w:r w:rsidRPr="00201140">
        <w:rPr>
          <w:rFonts w:eastAsia="MS PGothic"/>
          <w:color w:val="auto"/>
        </w:rPr>
        <w:t xml:space="preserve">el </w:t>
      </w:r>
      <w:r w:rsidR="006A7BF9" w:rsidRPr="00201140">
        <w:rPr>
          <w:rFonts w:eastAsia="MS PGothic"/>
          <w:color w:val="auto"/>
        </w:rPr>
        <w:t>33</w:t>
      </w:r>
      <w:r w:rsidRPr="00201140">
        <w:rPr>
          <w:rFonts w:eastAsia="MS PGothic"/>
          <w:color w:val="auto"/>
        </w:rPr>
        <w:t>% de venta sin consumo</w:t>
      </w:r>
      <w:r w:rsidR="00874740" w:rsidRPr="00201140">
        <w:rPr>
          <w:rFonts w:eastAsia="MS PGothic"/>
          <w:color w:val="auto"/>
        </w:rPr>
        <w:t>; d</w:t>
      </w:r>
      <w:r w:rsidR="006A7BF9" w:rsidRPr="00201140">
        <w:rPr>
          <w:rFonts w:eastAsia="MS PGothic"/>
          <w:color w:val="auto"/>
        </w:rPr>
        <w:t xml:space="preserve">e estos, 27% eran </w:t>
      </w:r>
      <w:r w:rsidRPr="00201140">
        <w:rPr>
          <w:rFonts w:eastAsia="MS PGothic"/>
          <w:color w:val="auto"/>
        </w:rPr>
        <w:t xml:space="preserve">supermercados y comercio alimentario, y 7% establecimientos </w:t>
      </w:r>
      <w:r w:rsidR="00874740" w:rsidRPr="00201140">
        <w:rPr>
          <w:rFonts w:eastAsia="MS PGothic"/>
          <w:color w:val="auto"/>
        </w:rPr>
        <w:t xml:space="preserve">de otro tipo en los que </w:t>
      </w:r>
      <w:r w:rsidRPr="00201140">
        <w:rPr>
          <w:rFonts w:eastAsia="MS PGothic"/>
          <w:color w:val="auto"/>
        </w:rPr>
        <w:t xml:space="preserve">se vendían bebidas aunque estas ocupaban un espacio marginal en el negocio (como las tiendas de </w:t>
      </w:r>
      <w:proofErr w:type="spellStart"/>
      <w:r w:rsidRPr="00201140">
        <w:rPr>
          <w:rFonts w:eastAsia="MS PGothic"/>
          <w:color w:val="auto"/>
        </w:rPr>
        <w:t>souvenirs</w:t>
      </w:r>
      <w:proofErr w:type="spellEnd"/>
      <w:r w:rsidRPr="00201140">
        <w:rPr>
          <w:rFonts w:eastAsia="MS PGothic"/>
          <w:color w:val="auto"/>
        </w:rPr>
        <w:t xml:space="preserve"> turísticos que vendían sangría</w:t>
      </w:r>
      <w:r w:rsidR="00874740" w:rsidRPr="00201140">
        <w:rPr>
          <w:rFonts w:eastAsia="MS PGothic"/>
          <w:color w:val="auto"/>
        </w:rPr>
        <w:t xml:space="preserve"> embotellada</w:t>
      </w:r>
      <w:r w:rsidRPr="00201140">
        <w:rPr>
          <w:rFonts w:eastAsia="MS PGothic"/>
          <w:color w:val="auto"/>
        </w:rPr>
        <w:t>). Los locales de venta y consumo</w:t>
      </w:r>
      <w:r>
        <w:rPr>
          <w:rFonts w:eastAsia="MS PGothic"/>
          <w:color w:val="auto"/>
        </w:rPr>
        <w:t xml:space="preserve"> estaban abiertos y con actividad con mayor frecuencia por la mañana (85%) y la tarde (77%), pero muchos estaban abiertos en horario nocturno (47%). De los locales de venta sin consumo, el 96% estaban abiertos por la mañana y el 79% por la tarde; un 26% estaban abiertos en horario nocturno. </w:t>
      </w:r>
      <w:r>
        <w:rPr>
          <w:color w:val="auto"/>
        </w:rPr>
        <w:t>En la figura 1 se presenta su distribución por distritos. Como puede apreciarse, s</w:t>
      </w:r>
      <w:r>
        <w:rPr>
          <w:rFonts w:eastAsia="MS PGothic"/>
          <w:color w:val="auto"/>
        </w:rPr>
        <w:t>u distribución territorial es desigual: casi la mitad (46%) está en secciones censales de los barrios de los dos distritos más céntricos</w:t>
      </w:r>
      <w:r>
        <w:rPr>
          <w:color w:val="auto"/>
        </w:rPr>
        <w:t xml:space="preserve"> (</w:t>
      </w:r>
      <w:proofErr w:type="spellStart"/>
      <w:r>
        <w:rPr>
          <w:color w:val="auto"/>
        </w:rPr>
        <w:t>Ciutat</w:t>
      </w:r>
      <w:proofErr w:type="spellEnd"/>
      <w:r>
        <w:rPr>
          <w:color w:val="auto"/>
        </w:rPr>
        <w:t xml:space="preserve"> Vella y </w:t>
      </w:r>
      <w:proofErr w:type="spellStart"/>
      <w:r>
        <w:rPr>
          <w:color w:val="auto"/>
        </w:rPr>
        <w:t>Eixample</w:t>
      </w:r>
      <w:proofErr w:type="spellEnd"/>
      <w:r>
        <w:rPr>
          <w:color w:val="auto"/>
        </w:rPr>
        <w:t xml:space="preserve">), en los que la </w:t>
      </w:r>
      <w:r>
        <w:rPr>
          <w:color w:val="auto"/>
        </w:rPr>
        <w:lastRenderedPageBreak/>
        <w:t>densidad de establecimientos que venden alcohol alcanza los 23 y 24 establecimientos por 1.000 habitantes.</w:t>
      </w:r>
    </w:p>
    <w:p w:rsidR="000E0EE9" w:rsidRDefault="000E0EE9">
      <w:pPr>
        <w:spacing w:before="240" w:line="360" w:lineRule="auto"/>
        <w:jc w:val="both"/>
        <w:rPr>
          <w:color w:val="auto"/>
        </w:rPr>
      </w:pPr>
      <w:r w:rsidRPr="0093499C">
        <w:rPr>
          <w:b/>
          <w:color w:val="auto"/>
        </w:rPr>
        <w:t>Publicidad y promoción</w:t>
      </w:r>
      <w:r>
        <w:rPr>
          <w:color w:val="auto"/>
        </w:rPr>
        <w:t xml:space="preserve">. En las secciones censales estudiadas se identificaron 72 elementos de promoción y publicidad de bebidas alcohólicas en la vía pública. Destaca el patrocinio de actividades musicales por marcas de bebidas. Se observan además numerosos ítems promocionales vinculados a los locales de venta y consumo. Así, el 61% de los locales con terraza tienen elementos de fomento del alcohol (principalmente mobiliario con logotipos o marcas impresas). Además, el 91% de los comercios que venden alcohol tienen a la vista elementos que pueden considerarse estímulos para la venta o consumo de bebidas alcohólicas. Hay mucha más publicidad y promoción en </w:t>
      </w:r>
      <w:proofErr w:type="spellStart"/>
      <w:r>
        <w:rPr>
          <w:color w:val="auto"/>
        </w:rPr>
        <w:t>Ciutat</w:t>
      </w:r>
      <w:proofErr w:type="spellEnd"/>
      <w:r>
        <w:rPr>
          <w:color w:val="auto"/>
        </w:rPr>
        <w:t xml:space="preserve"> Vella y el </w:t>
      </w:r>
      <w:proofErr w:type="spellStart"/>
      <w:r>
        <w:rPr>
          <w:color w:val="auto"/>
        </w:rPr>
        <w:t>Eixample</w:t>
      </w:r>
      <w:proofErr w:type="spellEnd"/>
      <w:r>
        <w:rPr>
          <w:color w:val="auto"/>
        </w:rPr>
        <w:t xml:space="preserve">: estos dos distritos concentran más de la mitad de los elementos promocionales. Se observaron cinco personas realizando venta ambulante o promoción de locales interpelando a peatones, todas en </w:t>
      </w:r>
      <w:proofErr w:type="spellStart"/>
      <w:r>
        <w:rPr>
          <w:color w:val="auto"/>
        </w:rPr>
        <w:t>Ciutat</w:t>
      </w:r>
      <w:proofErr w:type="spellEnd"/>
      <w:r>
        <w:rPr>
          <w:color w:val="auto"/>
        </w:rPr>
        <w:t xml:space="preserve"> Vella. La tabla 1 sintetiza esta información. </w:t>
      </w:r>
    </w:p>
    <w:p w:rsidR="000E0EE9" w:rsidRDefault="000E0EE9">
      <w:pPr>
        <w:spacing w:before="240" w:line="360" w:lineRule="auto"/>
        <w:jc w:val="both"/>
        <w:rPr>
          <w:color w:val="auto"/>
        </w:rPr>
      </w:pPr>
      <w:r w:rsidRPr="0093499C">
        <w:rPr>
          <w:b/>
          <w:color w:val="auto"/>
        </w:rPr>
        <w:t>Indicios de consumo</w:t>
      </w:r>
      <w:r>
        <w:rPr>
          <w:color w:val="auto"/>
        </w:rPr>
        <w:t xml:space="preserve">. En cada franja horaria se apreciaron entre 39 y 51 elementos considerados como indicios de consumo en la vía pública, en las 20 zonas estudiadas, sumando un total de 133 indicios (excluyendo las terrazas de los establecimientos de venta y consumo de alcohol), como puede apreciarse en la figura 2. La mayoría de los elementos observados eran envases abandonados (80 envases), sobre todo latas de cerveza. Había más indicios de consumo en la franja horaria nocturna, y eran más frecuentes en las secciones estudiadas de los barrios de </w:t>
      </w:r>
      <w:proofErr w:type="spellStart"/>
      <w:r>
        <w:rPr>
          <w:color w:val="auto"/>
        </w:rPr>
        <w:t>Ciutat</w:t>
      </w:r>
      <w:proofErr w:type="spellEnd"/>
      <w:r>
        <w:rPr>
          <w:color w:val="auto"/>
        </w:rPr>
        <w:t xml:space="preserve"> Vella: de las 27 observaciones de personas consumiendo en el espacio público (fuera de las terrazas), 21 fueron en este distrito. </w:t>
      </w:r>
    </w:p>
    <w:p w:rsidR="000E0EE9" w:rsidRDefault="000E0EE9">
      <w:pPr>
        <w:spacing w:before="240" w:line="360" w:lineRule="auto"/>
        <w:jc w:val="both"/>
        <w:rPr>
          <w:color w:val="auto"/>
        </w:rPr>
      </w:pPr>
      <w:r>
        <w:rPr>
          <w:color w:val="auto"/>
        </w:rPr>
        <w:t xml:space="preserve">En la tabla 2 se presenta la distribución por distrito de las variables sintéticas. </w:t>
      </w:r>
      <w:proofErr w:type="spellStart"/>
      <w:r>
        <w:rPr>
          <w:color w:val="auto"/>
        </w:rPr>
        <w:t>Ciutat</w:t>
      </w:r>
      <w:proofErr w:type="spellEnd"/>
      <w:r>
        <w:rPr>
          <w:color w:val="auto"/>
        </w:rPr>
        <w:t xml:space="preserve"> Vella y el </w:t>
      </w:r>
      <w:proofErr w:type="spellStart"/>
      <w:r>
        <w:rPr>
          <w:color w:val="auto"/>
        </w:rPr>
        <w:t>Eixample</w:t>
      </w:r>
      <w:proofErr w:type="spellEnd"/>
      <w:r>
        <w:rPr>
          <w:color w:val="auto"/>
        </w:rPr>
        <w:t xml:space="preserve"> concentran el grueso de la oferta de bebidas y de los elementos de publicidad y promoción, de forma muy destacada, y se aprecia una elevada correlación entre la VS1 (que refleja la oferta de bebidas alcohólicas) y VS2 (que refleja los elementos de promoción del alcohol), con un</w:t>
      </w:r>
      <w:r w:rsidR="00714E95">
        <w:rPr>
          <w:color w:val="auto"/>
        </w:rPr>
        <w:t xml:space="preserve"> valor del coeficiente de correlación r de 0,96 (R</w:t>
      </w:r>
      <w:r w:rsidR="00714E95">
        <w:rPr>
          <w:color w:val="auto"/>
          <w:vertAlign w:val="superscript"/>
        </w:rPr>
        <w:t>2</w:t>
      </w:r>
      <w:r w:rsidR="00714E95">
        <w:rPr>
          <w:color w:val="auto"/>
        </w:rPr>
        <w:t>=0,92).</w:t>
      </w:r>
      <w:r>
        <w:rPr>
          <w:color w:val="auto"/>
        </w:rPr>
        <w:t xml:space="preserve"> Contrariamente, la VS4 (que refleja el consumo inapropiado) tiene valores altos en un solo distrito (</w:t>
      </w:r>
      <w:proofErr w:type="spellStart"/>
      <w:r>
        <w:rPr>
          <w:color w:val="auto"/>
        </w:rPr>
        <w:t>Ciutat</w:t>
      </w:r>
      <w:proofErr w:type="spellEnd"/>
      <w:r>
        <w:rPr>
          <w:color w:val="auto"/>
        </w:rPr>
        <w:t xml:space="preserve"> Vella), y en el </w:t>
      </w:r>
      <w:proofErr w:type="spellStart"/>
      <w:r>
        <w:rPr>
          <w:color w:val="auto"/>
        </w:rPr>
        <w:t>Eixample</w:t>
      </w:r>
      <w:proofErr w:type="spellEnd"/>
      <w:r>
        <w:rPr>
          <w:color w:val="auto"/>
        </w:rPr>
        <w:t xml:space="preserve"> apenas hay indicios de consumo inapropiado. Mientras </w:t>
      </w:r>
      <w:r>
        <w:rPr>
          <w:color w:val="auto"/>
        </w:rPr>
        <w:lastRenderedPageBreak/>
        <w:t xml:space="preserve">que en </w:t>
      </w:r>
      <w:proofErr w:type="spellStart"/>
      <w:r>
        <w:rPr>
          <w:color w:val="auto"/>
        </w:rPr>
        <w:t>Ciutat</w:t>
      </w:r>
      <w:proofErr w:type="spellEnd"/>
      <w:r>
        <w:rPr>
          <w:color w:val="auto"/>
        </w:rPr>
        <w:t xml:space="preserve"> Vella se observaron 50 indicios de consumo, en la mayoría de distritos este valor fluctúa entre 9 y 18. No parece haber </w:t>
      </w:r>
      <w:r w:rsidR="00714E95">
        <w:rPr>
          <w:color w:val="auto"/>
        </w:rPr>
        <w:t xml:space="preserve">correlación entre </w:t>
      </w:r>
      <w:r>
        <w:rPr>
          <w:color w:val="auto"/>
        </w:rPr>
        <w:t xml:space="preserve">esta VS4 </w:t>
      </w:r>
      <w:r w:rsidR="00714E95">
        <w:rPr>
          <w:color w:val="auto"/>
        </w:rPr>
        <w:t xml:space="preserve">y </w:t>
      </w:r>
      <w:r>
        <w:rPr>
          <w:color w:val="auto"/>
        </w:rPr>
        <w:t>la VS3 que suma los estímulos visibles observados (</w:t>
      </w:r>
      <w:r w:rsidR="00714E95">
        <w:rPr>
          <w:color w:val="auto"/>
        </w:rPr>
        <w:t xml:space="preserve">r=0,35, </w:t>
      </w:r>
      <w:r>
        <w:rPr>
          <w:color w:val="auto"/>
        </w:rPr>
        <w:t>R</w:t>
      </w:r>
      <w:r>
        <w:rPr>
          <w:color w:val="auto"/>
          <w:vertAlign w:val="superscript"/>
        </w:rPr>
        <w:t>2</w:t>
      </w:r>
      <w:r>
        <w:rPr>
          <w:color w:val="auto"/>
        </w:rPr>
        <w:t xml:space="preserve">=0,12). </w:t>
      </w:r>
    </w:p>
    <w:p w:rsidR="000E0EE9" w:rsidRDefault="000E0EE9">
      <w:pPr>
        <w:spacing w:before="480" w:line="360" w:lineRule="auto"/>
        <w:jc w:val="both"/>
        <w:rPr>
          <w:b/>
          <w:bCs/>
        </w:rPr>
      </w:pPr>
      <w:r>
        <w:rPr>
          <w:b/>
          <w:bCs/>
        </w:rPr>
        <w:t>Discusión</w:t>
      </w:r>
    </w:p>
    <w:p w:rsidR="00547F38" w:rsidRPr="00547F38" w:rsidRDefault="000E0EE9">
      <w:pPr>
        <w:spacing w:line="360" w:lineRule="auto"/>
        <w:jc w:val="both"/>
      </w:pPr>
      <w:r>
        <w:t xml:space="preserve">Los resultados de este estudio empírico muestran que nuestro medio urbano se caracteriza por </w:t>
      </w:r>
      <w:r w:rsidR="002C0C64">
        <w:t>una</w:t>
      </w:r>
      <w:r>
        <w:t xml:space="preserve"> </w:t>
      </w:r>
      <w:r w:rsidR="002C0C64">
        <w:t xml:space="preserve">elevada </w:t>
      </w:r>
      <w:r>
        <w:t>disponibilidad de alcohol, incluso en horario nocturno, y especialmente en los barrios más céntricos. Los elementos promocionales y de publicidad son abundantes. Hay fuerte presencia de indicios de consumo inapropiado visible en el espacio público, especialmente concentrado en algunas zonas</w:t>
      </w:r>
      <w:r w:rsidR="002C0C64">
        <w:t>;</w:t>
      </w:r>
      <w:r>
        <w:t xml:space="preserve"> </w:t>
      </w:r>
      <w:r w:rsidR="002C0C64">
        <w:t>m</w:t>
      </w:r>
      <w:r>
        <w:t xml:space="preserve">uchos de éstos reflejan infracciones de la Ordenanza municipal de medidas para fomentar y garantizar la convivencia ciudadana, que prohíbe el consumo con envases de lata o vidrio en el espacio público y también el abandono de envases de bebidas en la vía pública </w:t>
      </w:r>
      <w:r>
        <w:fldChar w:fldCharType="begin"/>
      </w:r>
      <w:r w:rsidR="007C1687">
        <w:instrText xml:space="preserve"> ADDIN ZOTERO_ITEM CSL_CITATION {"citationID":"a2eeakv01o6","properties":{"formattedCitation":"{\\rtf (Ordenanza de medidas para fomentar y garantizar la convivencia ciudadana en el espacio p\\uc0\\u250{}blico de Barcelona, 2005)}","plainCitation":"(Ordenanza de medidas para fomentar y garantizar la convivencia ciudadana en el espacio público de Barcelona, 2005)"},"citationItems":[{"id":909,"uris":["http://zotero.org/groups/71722/items/7PZU5DSJ"],"uri":["http://zotero.org/groups/71722/items/7PZU5DSJ"],"itemData":{"id":909,"type":"legislation","title":"Ordenanza de medidas para fomentar y garantizar la convivencia ciudadana en el espacio público de Barcelona","URL":"http://w110.bcn.cat/fitxers/ajuntament/consolidadescast/convivencia.830.pdf","issued":{"date-parts":[["2005"]]}}}],"schema":"https://github.com/citation-style-language/schema/raw/master/csl-citation.json"} </w:instrText>
      </w:r>
      <w:r>
        <w:fldChar w:fldCharType="separate"/>
      </w:r>
      <w:r w:rsidR="0093499C" w:rsidRPr="0093499C">
        <w:t>(Ordenanza de medidas para fomentar y garantizar la convivencia ciudadana en el espacio público de Barcelona, 2005)</w:t>
      </w:r>
      <w:r>
        <w:fldChar w:fldCharType="end"/>
      </w:r>
      <w:r>
        <w:t xml:space="preserve">. </w:t>
      </w:r>
      <w:r w:rsidR="007B3E99">
        <w:t>Tanto l</w:t>
      </w:r>
      <w:r w:rsidR="00547F38">
        <w:t xml:space="preserve">a disponibilidad de alcohol </w:t>
      </w:r>
      <w:r w:rsidR="007B3E99">
        <w:t xml:space="preserve">como </w:t>
      </w:r>
      <w:r w:rsidR="00547F38">
        <w:t xml:space="preserve">la exposición a elementos promocionales se han relacionado con </w:t>
      </w:r>
      <w:r w:rsidR="007B3E99">
        <w:t>su</w:t>
      </w:r>
      <w:r w:rsidR="00547F38">
        <w:t xml:space="preserve"> </w:t>
      </w:r>
      <w:r w:rsidR="002C0C64">
        <w:t xml:space="preserve">consumo </w:t>
      </w:r>
      <w:r w:rsidR="00547F38">
        <w:t>en estudios realizados en otros medios</w:t>
      </w:r>
      <w:r w:rsidR="002C0C64">
        <w:t xml:space="preserve"> </w:t>
      </w:r>
      <w:r w:rsidR="002C0C64">
        <w:fldChar w:fldCharType="begin"/>
      </w:r>
      <w:r w:rsidR="002C0C64">
        <w:instrText xml:space="preserve"> ADDIN ZOTERO_ITEM CSL_CITATION {"citationID":"14384e7a2o","properties":{"formattedCitation":"(Bryden, Roberts, McKee, &amp; Petticrew, 2012; Ellickson, Collins, Hambarsoomians, &amp; McCaffrey, 2005; Hurtz, Henriksen, Wang, Feighery, &amp; Fortmann, 2007)","plainCitation":"(Bryden, Roberts, McKee, &amp; Petticrew, 2012; Ellickson, Collins, Hambarsoomians, &amp; McCaffrey, 2005; Hurtz, Henriksen, Wang, Feighery, &amp; Fortmann, 2007)"},"citationItems":[{"id":2111,"uris":["http://zotero.org/groups/71722/items/EXV24J8D"],"uri":["http://zotero.org/groups/71722/items/EXV24J8D"],"itemData":{"id":2111,"type":"article-journal","title":"A systematic review of the influence on alcohol use of community level availability and marketing of alcohol","container-title":"Health Place","page":"349-357","volume":"18","issue":"2","source":"PubMed","abstract":"PURPOSE: Exposure to a high number of alcohol outlets and adverts within a community may lead to higher alcohol use by local residents. The aim of this systematic review was to explore evidence on the influence on alcohol use of community level availability and marketing of alcohol.\nRESULTS: 26 studies met the eligibility criteria. While the findings were not conclusive, there was some indication that higher outlet density and greater exposure to advertising in a local community may be associated with an increase in alcohol use, particularly among adolescents.\nCONCLUSIONS: This review disentangled the existing evidence on the overall relationships between availability, marketing and alcohol use at a community level. Further studies are required to better understand the influence of these factors on alcohol use.","DOI":"10.1016/j.healthplace.2011.11.003","ISSN":"1873-2054","note":"PMID: 22154843","journalAbbreviation":"Health Place","language":"eng","author":[{"family":"Bryden","given":"Anna"},{"family":"Roberts","given":"Bayard"},{"family":"McKee","given":"Martin"},{"family":"Petticrew","given":"Mark"}],"issued":{"date-parts":[["2012"]]}}},{"id":4588,"uris":["http://zotero.org/groups/71722/items/WJFT6XUG"],"uri":["http://zotero.org/groups/71722/items/WJFT6XUG"],"itemData":{"id":4588,"type":"article-journal","title":"Does alcohol advertising promote adolescent drinking? Results from a longitudinal assessment","container-title":"Addiction","page":"235–246","volume":"100","issue":"2","source":"Google Scholar","shortTitle":"Does alcohol advertising promote adolescent drinking?","author":[{"family":"Ellickson","given":"Phyllis L."},{"family":"Collins","given":"Rebecca L."},{"family":"Hambarsoomians","given":"Katrin"},{"family":"McCaffrey","given":"Daniel F."}],"issued":{"date-parts":[["2005"]]}}},{"id":2943,"uris":["http://zotero.org/groups/71722/items/K445V9M3"],"uri":["http://zotero.org/groups/71722/items/K445V9M3"],"itemData":{"id":2943,"type":"article-journal","title":"The relationship between exposure to alcohol advertising in stores, owning alcohol promotional items, and adolescent alcohol use","container-title":"Alcohol Alcohol","page":"143-149","volume":"42","issue":"2","source":"PubMed","abstract":"AIM: This paper describes adolescents' exposure to alcohol advertising in stores and to alcohol-branded promotional items and their association with self-reported drinking.\nMETHODS: A cross-sectional survey was administered in non-tracked required courses to sixth, seventh, and eighth graders (n = 2125) in three California middle schools. Logistic regr</w:instrText>
      </w:r>
      <w:r w:rsidR="002C0C64" w:rsidRPr="00464402">
        <w:rPr>
          <w:lang w:val="en-US"/>
        </w:rPr>
        <w:instrText>essions compared the odds of ever (vs. never) drinking and current (vs. ever) drinking after controlling for psychosocial and other risk factors for ado</w:instrText>
      </w:r>
      <w:r w:rsidR="002C0C64" w:rsidRPr="00547F38">
        <w:rPr>
          <w:lang w:val="en-US"/>
        </w:rPr>
        <w:instrText xml:space="preserve">lescent alcohol use.\nRESULTS: Two-thirds of middle school students reported at least weekly visits to liquor, convenience, or small grocery stores where alcohol advertising is widespread. Such exposure was associated with higher odds of ever drinking, but was not associated with current drinking. One-fifth of students reported owning at least one alcohol promotional item. These students were three times more likely to have ever tried drinking and 1.5 times more likely to report current drinking than students without such items.\nCONCLUSIONS: This study provides clear evidence of an association of adolescent drinking with weekly exposure to alcohol advertising in stores and with ownership of alcohol promotional items. Given their potential influence on adolescent drinking behaviour, retail ads, and promotional items for alcohol deserve further study.","DOI":"10.1093/alcalc/agl119","ISSN":"0735-0414","note":"PMID: 17218364\nPMCID: PMC4238906","journalAbbreviation":"Alcohol Alcohol","language":"eng","author":[{"family":"Hurtz","given":"Shannon Q."},{"family":"Henriksen","given":"Lisa"},{"family":"Wang","given":"Yun"},{"family":"Feighery","given":"Ellen C."},{"family":"Fortmann","given":"Stephen P."}],"issued":{"date-parts":[["2007"]]}}}],"schema":"https://github.com/citation-style-language/schema/raw/master/csl-citation.json"} </w:instrText>
      </w:r>
      <w:r w:rsidR="002C0C64">
        <w:fldChar w:fldCharType="separate"/>
      </w:r>
      <w:r w:rsidR="002C0C64" w:rsidRPr="00547F38">
        <w:rPr>
          <w:lang w:val="en-US"/>
        </w:rPr>
        <w:t>(</w:t>
      </w:r>
      <w:r w:rsidR="007B3E99">
        <w:fldChar w:fldCharType="begin"/>
      </w:r>
      <w:r w:rsidR="007B3E99">
        <w:instrText xml:space="preserve"> ADDIN ZOTERO_ITEM CSL_CITATION {"citationID":"1to3j38jvc","properties":{"formattedCitation":"(Ahern, Margerison-Zilko, Hubbard, &amp; Galea, 2013; Campbell et al., 2009; de Bruijn et al., 2016)","plainCitation":"(Ahern, Margerison-Zilko, Hubbard, &amp; Galea, 2013; Campbell et al., 2009; de Bruijn et al., 2016)"},"citationItems":[{"id":2075,"uris":["http://zotero.org/groups/71722/items/EQVZBPVJ"],"uri":["http://zotero.org/groups/71722/items/EQVZBPVJ"],"itemData":{"id":2075,"type":"article-journal","title":"European longitudinal study on the relationship between adolescents’ alcohol marketing exposure and alcohol use: Impact of alcohol marketing on drinking in EU","container-title":"Addiction","page":"1774-83","volume":"111","issue":"10","source":"CrossRef","DOI":"10.1111/add.13455","ISSN":"09652140","shortTitle":"European longitudinal study on the relationship between adolescents’ alcohol marketing exposure and alcohol use","language":"en","author":[{"family":"Bruijn","given":"Avalon","non-dropping-particle":"de"},{"family":"Tanghe","given":"Jacqueline"},{"family":"Leeuw","given":"Rebecca","non-dropping-particle":"de"},{"family":"Engels","given":"Rutger"},{"family":"Anderson","given":"Peter"},{"family":"Beccaria","given":"Franca"},{"family":"Bujalski","given":"Michał"},{"family":"Celata","given":"Corrado"},{"family":"Gosselt","given":"Jordy"},{"family":"Schreckenberg","given":"Dirk"},{"family":"Słodownik","given":"Luiza"},{"family":"Wothge","given":"Jördis"},{"family":"Dalen","given":"Wim","non-dropping-particle":"van"}],"issued":{"date-parts":[["2016"]]}}},{"id":4778,"uris":["http://zotero.org/groups/71722/items/XK82NUEU"],"uri":["http://zotero.org/groups/71722/items/XK82NUEU"],"itemData":{"id":4778,"type":"article-journal","title":"Alcohol outlets and binge drinking in urban neighborhoods: the implications of nonlinearity for intervention and policy","container-title":"Am J Public Health","page":"e81-87","volume":"103","issue":"4","source":"PubMed","abstract":"OBJECTIVES: Alcohol outlet density has long been associated with alcohol-related harms, and policymakers have endorsed alcohol outlet restriction to reduce these harms. However, potential nonlinearity in the relation between outlet density and alcohol consumption has not been rigorously examined.\nMETHODS: We used data from the New York Social Environment Study (n = 4000) to examine the shape of the relation between neighborhood alcohol outlet density and binge drinking by using a generalized additive model with locally weighted scatterplot smoothing, and applied an imputation-based marginal modeling approach.\nRESULTS: We found a nonlinear relation between alcohol outlet density and binge drinking; the association was stronger at densities of more than 80 outlets per square mile. Binge drinking prevalence was estimated to be 13% at 130 outlets, 8% at 80 outlets, and 8% at 20 outlets per square mile.\nCONCLUSIONS: This nonlinearity suggests that reductions in alcohol outlet density where density is highest and the association is strongest may have the largest public health impact per unit reduction. Future research should assess the impact of policies and interventions that aim to reduce alcohol outlet density, and consider nonlinearity in effects.","DOI":"10.2105/AJPH.2012.301203","ISSN":"1541-0048","note":"PMID: 23409908\nPMCID: PMC3673248","shortTitle":"Alcohol outlets and binge drinking in urban neighborhoods","journalAbbreviation":"Am J Public Health","language":"eng","author":[{"family":"Ahern","given":"Jennifer"},{"family":"Margerison-Zilko","given":"Claire"},{"family":"Hubbard","given":"Alan"},{"family":"Galea","given":"Sandro"}],"issued":{"date-parts":[["2013",4]]}}},{"id":2293,"uris":["http://zotero.org/groups/71722/items/G2EMSI56"],"uri":["http://zotero.org/groups/71722/items/G2EMSI56"],"itemData":{"id":2293,"type":"article-journal","title":"The effectiveness of limiting alcohol outlet density as a means of reducing excessive alcohol consumption and alcohol-related harms","container-title":"Am J Prev Med","page":"556-569","volume":"37","issue":"6","source":"PubMed","abstract":"The density of alcohol outlets in communities may be regulated to reduce excessive alcohol consumption and related harms. Studies directly assessing the control of outlet density as a means of controlling excessive alcohol consu</w:instrText>
      </w:r>
      <w:r w:rsidR="007B3E99" w:rsidRPr="007B3E99">
        <w:rPr>
          <w:lang w:val="en-US"/>
        </w:rPr>
        <w:instrText xml:space="preserve">mption and related harms do not exist, but assessments of related phenomena are indicative. To assess the effects of outlet density on alcohol-related harms, primary evidence was used from interrupted time-series studies of outlet density; studies of the privatization of alcohol sales, alcohol bans, and changes in license arrangements-all of which affected outlet density. Most of the studies included in this review found that greater outlet density is associated with increased alcohol consumption and related harms, including medical harms, injury, crime, and violence. Primary evidence was supported by secondary evidence from correlational studies. The regulation of alcohol outlet density may be a useful public health tool for the reduction of excessive alcohol consumption and related harms.","DOI":"10.1016/j.amepre.2009.09.028","ISSN":"1873-2607","note":"PMID: 19944925","journalAbbreviation":"Am J Prev Med","language":"eng","author":[{"family":"Campbell","given":"Carla Alexia"},{"family":"Hahn","given":"Robert A."},{"family":"Elder","given":"Randy"},{"family":"Brewer","given":"Robert"},{"family":"Chattopadhyay","given":"Sajal"},{"family":"Fielding","given":"Jonathan"},{"family":"Naimi","given":"Timothy S."},{"family":"Toomey","given":"Traci"},{"family":"Lawrence","given":"Briana"},{"family":"Middleton","given":"Jennifer Cook"}],"issued":{"date-parts":[["2009"]]}}}],"schema":"https://github.com/citation-style-language/schema/raw/master/csl-citation.json"} </w:instrText>
      </w:r>
      <w:r w:rsidR="007B3E99">
        <w:fldChar w:fldCharType="separate"/>
      </w:r>
      <w:r w:rsidR="007B3E99" w:rsidRPr="007B3E99">
        <w:rPr>
          <w:lang w:val="en-US"/>
        </w:rPr>
        <w:t>Ahern</w:t>
      </w:r>
      <w:r w:rsidR="007B3E99">
        <w:rPr>
          <w:lang w:val="en-US"/>
        </w:rPr>
        <w:t xml:space="preserve"> et al., 2013</w:t>
      </w:r>
      <w:r w:rsidR="007B3E99" w:rsidRPr="007B3E99">
        <w:rPr>
          <w:lang w:val="en-US"/>
        </w:rPr>
        <w:t>;</w:t>
      </w:r>
      <w:r w:rsidR="007B3E99">
        <w:fldChar w:fldCharType="end"/>
      </w:r>
      <w:r w:rsidR="007B3E99" w:rsidRPr="007B3E99">
        <w:rPr>
          <w:lang w:val="en-US"/>
        </w:rPr>
        <w:t xml:space="preserve"> </w:t>
      </w:r>
      <w:proofErr w:type="spellStart"/>
      <w:r w:rsidR="002C0C64" w:rsidRPr="00547F38">
        <w:rPr>
          <w:lang w:val="en-US"/>
        </w:rPr>
        <w:t>Bryden</w:t>
      </w:r>
      <w:proofErr w:type="spellEnd"/>
      <w:r w:rsidR="002C0C64" w:rsidRPr="00547F38">
        <w:rPr>
          <w:lang w:val="en-US"/>
        </w:rPr>
        <w:t>, Roberts, McKee</w:t>
      </w:r>
      <w:r w:rsidR="00291E6C">
        <w:rPr>
          <w:lang w:val="en-US"/>
        </w:rPr>
        <w:t xml:space="preserve"> y</w:t>
      </w:r>
      <w:r w:rsidR="002C0C64" w:rsidRPr="00547F38">
        <w:rPr>
          <w:lang w:val="en-US"/>
        </w:rPr>
        <w:t xml:space="preserve"> </w:t>
      </w:r>
      <w:proofErr w:type="spellStart"/>
      <w:r w:rsidR="002C0C64" w:rsidRPr="00547F38">
        <w:rPr>
          <w:lang w:val="en-US"/>
        </w:rPr>
        <w:t>Petticrew</w:t>
      </w:r>
      <w:proofErr w:type="spellEnd"/>
      <w:r w:rsidR="002C0C64" w:rsidRPr="00547F38">
        <w:rPr>
          <w:lang w:val="en-US"/>
        </w:rPr>
        <w:t xml:space="preserve">, 2012; </w:t>
      </w:r>
      <w:proofErr w:type="spellStart"/>
      <w:r w:rsidR="002C0C64" w:rsidRPr="00547F38">
        <w:rPr>
          <w:lang w:val="en-US"/>
        </w:rPr>
        <w:t>Ell</w:t>
      </w:r>
      <w:r w:rsidR="00291E6C">
        <w:rPr>
          <w:lang w:val="en-US"/>
        </w:rPr>
        <w:t>ickson</w:t>
      </w:r>
      <w:proofErr w:type="spellEnd"/>
      <w:r w:rsidR="00291E6C">
        <w:rPr>
          <w:lang w:val="en-US"/>
        </w:rPr>
        <w:t xml:space="preserve">, Collins, </w:t>
      </w:r>
      <w:proofErr w:type="spellStart"/>
      <w:r w:rsidR="00291E6C">
        <w:rPr>
          <w:lang w:val="en-US"/>
        </w:rPr>
        <w:t>Hambarsoomians</w:t>
      </w:r>
      <w:proofErr w:type="spellEnd"/>
      <w:r w:rsidR="00291E6C">
        <w:rPr>
          <w:lang w:val="en-US"/>
        </w:rPr>
        <w:t xml:space="preserve"> y</w:t>
      </w:r>
      <w:r w:rsidR="002C0C64" w:rsidRPr="00547F38">
        <w:rPr>
          <w:lang w:val="en-US"/>
        </w:rPr>
        <w:t xml:space="preserve"> McCaffrey, 2005; </w:t>
      </w:r>
      <w:proofErr w:type="spellStart"/>
      <w:r w:rsidR="002C0C64" w:rsidRPr="00547F38">
        <w:rPr>
          <w:lang w:val="en-US"/>
        </w:rPr>
        <w:t>Hurtz</w:t>
      </w:r>
      <w:proofErr w:type="spellEnd"/>
      <w:r w:rsidR="002C0C64" w:rsidRPr="00547F38">
        <w:rPr>
          <w:lang w:val="en-US"/>
        </w:rPr>
        <w:t xml:space="preserve">, </w:t>
      </w:r>
      <w:proofErr w:type="spellStart"/>
      <w:r w:rsidR="002C0C64" w:rsidRPr="00547F38">
        <w:rPr>
          <w:lang w:val="en-US"/>
        </w:rPr>
        <w:t>Henriksen</w:t>
      </w:r>
      <w:proofErr w:type="spellEnd"/>
      <w:r w:rsidR="002C0C64" w:rsidRPr="00547F38">
        <w:rPr>
          <w:lang w:val="en-US"/>
        </w:rPr>
        <w:t xml:space="preserve">, Wang, </w:t>
      </w:r>
      <w:proofErr w:type="spellStart"/>
      <w:r w:rsidR="002C0C64" w:rsidRPr="00547F38">
        <w:rPr>
          <w:lang w:val="en-US"/>
        </w:rPr>
        <w:t>Feighery</w:t>
      </w:r>
      <w:proofErr w:type="spellEnd"/>
      <w:r w:rsidR="00291E6C">
        <w:rPr>
          <w:lang w:val="en-US"/>
        </w:rPr>
        <w:t xml:space="preserve"> y</w:t>
      </w:r>
      <w:r w:rsidR="002C0C64" w:rsidRPr="00547F38">
        <w:rPr>
          <w:lang w:val="en-US"/>
        </w:rPr>
        <w:t xml:space="preserve"> </w:t>
      </w:r>
      <w:proofErr w:type="spellStart"/>
      <w:r w:rsidR="002C0C64" w:rsidRPr="00547F38">
        <w:rPr>
          <w:lang w:val="en-US"/>
        </w:rPr>
        <w:t>Fortmann</w:t>
      </w:r>
      <w:proofErr w:type="spellEnd"/>
      <w:r w:rsidR="002C0C64" w:rsidRPr="00547F38">
        <w:rPr>
          <w:lang w:val="en-US"/>
        </w:rPr>
        <w:t>, 2007)</w:t>
      </w:r>
      <w:r w:rsidR="002C0C64">
        <w:fldChar w:fldCharType="end"/>
      </w:r>
      <w:r w:rsidR="00547F38" w:rsidRPr="00547F38">
        <w:rPr>
          <w:lang w:val="en-US"/>
        </w:rPr>
        <w:t xml:space="preserve">. </w:t>
      </w:r>
      <w:r w:rsidR="007B3E99" w:rsidRPr="007B3E99">
        <w:t>Pensamos que l</w:t>
      </w:r>
      <w:r w:rsidR="00547F38" w:rsidRPr="00547F38">
        <w:t xml:space="preserve">a cuantificación de su presencia y distribución </w:t>
      </w:r>
      <w:r w:rsidR="007B3E99">
        <w:t xml:space="preserve">en nuestro contexto urbano </w:t>
      </w:r>
      <w:r w:rsidR="00547F38" w:rsidRPr="00547F38">
        <w:t xml:space="preserve">proporciona elementos </w:t>
      </w:r>
      <w:r w:rsidR="00547F38">
        <w:t xml:space="preserve">que pueden servir </w:t>
      </w:r>
      <w:r w:rsidR="00547F38" w:rsidRPr="00547F38">
        <w:t>para mejorar su control.</w:t>
      </w:r>
    </w:p>
    <w:p w:rsidR="000E0EE9" w:rsidRPr="00547F38" w:rsidRDefault="000E0EE9">
      <w:pPr>
        <w:spacing w:line="360" w:lineRule="auto"/>
        <w:jc w:val="both"/>
      </w:pPr>
    </w:p>
    <w:p w:rsidR="000E0EE9" w:rsidRDefault="000E0EE9">
      <w:pPr>
        <w:spacing w:line="360" w:lineRule="auto"/>
        <w:jc w:val="both"/>
      </w:pPr>
      <w:r>
        <w:t>Entre las limitaciones del estudio destaca que se basa en una muestra de zonas relativamente pequeña, aunque tener dos secciones censales por distrito garantiza una mínima variabilidad. También hay que tener en cuenta que las observaciones se realizaron en un momento dado (otoño de 2015) y podrían ser distintas en otro momento. Así, por un lado, en verano de 2015 se em</w:t>
      </w:r>
      <w:bookmarkStart w:id="0" w:name="_GoBack"/>
      <w:bookmarkEnd w:id="0"/>
      <w:r>
        <w:t>pezaron a aplicar algunos aspectos de la ordenanza de terrazas de la ciudad que redujeron los elementos publicitarios vinculados a estas</w:t>
      </w:r>
      <w:r w:rsidR="003E1F80">
        <w:t xml:space="preserve"> </w:t>
      </w:r>
      <w:r>
        <w:fldChar w:fldCharType="begin"/>
      </w:r>
      <w:r w:rsidR="00464402">
        <w:instrText xml:space="preserve"> ADDIN ZOTERO_ITEM CSL_CITATION {"citationID":"mfb8h1trl","properties":{"formattedCitation":"(Castan, 2014)","plainCitation":"(Castan, 2014)"},"citationItems":[{"id":4681,"uris":["http://zotero.org/groups/71722/items/X3VPMFNK"],"uri":["http://zotero.org/groups/71722/items/X3VPMFNK"],"itemData":{"id":4681,"type":"article-newspaper","title":"El 40% de terrazas de BCN incumplen la normativa","container-title":"El Periodico","publisher-place":"Barcelona","event-place":"Barcelona","URL":"http://www.elperiodico.com/es/noticias/barcelona/terrazas-bcn-incumplen-normativa-3280310","author":[{"family":"Castan","given":"Patricia"}],"issued":{"date-parts":[["2014"]]}}}],"schema":"https://github.com/citation-style-language/schema/raw/master/csl-citation.json"} </w:instrText>
      </w:r>
      <w:r>
        <w:fldChar w:fldCharType="separate"/>
      </w:r>
      <w:r w:rsidR="0093499C" w:rsidRPr="0093499C">
        <w:t>(Castan, 2014)</w:t>
      </w:r>
      <w:r>
        <w:fldChar w:fldCharType="end"/>
      </w:r>
      <w:r>
        <w:t xml:space="preserve">. Por otra parte la meteorología comporta un ciclo estacional en las actividades al aire libre, que puede haber influido en algunos fenómenos estudiados; de todos modos, el otoño de 2015 tuvo una climatología especialmente suave, sin lluvia. Entre las fortalezas, destacamos la cuidadosa elaboración del formulario normalizado, las </w:t>
      </w:r>
      <w:r>
        <w:lastRenderedPageBreak/>
        <w:t xml:space="preserve">cautelas para optimizar la validez de la recogida de datos, y la realización de observaciones en tres franjas horarias en cada zona. </w:t>
      </w:r>
    </w:p>
    <w:p w:rsidR="000E0EE9" w:rsidRDefault="000E0EE9">
      <w:pPr>
        <w:spacing w:line="360" w:lineRule="auto"/>
        <w:jc w:val="both"/>
      </w:pPr>
    </w:p>
    <w:p w:rsidR="000E0EE9" w:rsidRDefault="000E0EE9" w:rsidP="005F3B07">
      <w:pPr>
        <w:spacing w:line="360" w:lineRule="auto"/>
        <w:jc w:val="both"/>
        <w:rPr>
          <w:color w:val="auto"/>
        </w:rPr>
      </w:pPr>
      <w:r>
        <w:rPr>
          <w:color w:val="auto"/>
        </w:rPr>
        <w:t xml:space="preserve">Los resultados sugieren una fuerte concentración tanto de la oferta de bebidas como de elementos promocionales del alcohol en el centro de la ciudad, con una fuerte asociación entre ambos. Otros barrios muestran una oferta mucho más limitada, y menos elementos visibles de promoción del alcohol. En cambio, los indicios de consumo inapropiado parecen ser mucho mayores en una parte concreta del centro urbano, ya que se concentran en el casco antiguo y no parecen afectar al distrito del </w:t>
      </w:r>
      <w:proofErr w:type="spellStart"/>
      <w:r>
        <w:rPr>
          <w:color w:val="auto"/>
        </w:rPr>
        <w:t>Eixample</w:t>
      </w:r>
      <w:proofErr w:type="spellEnd"/>
      <w:r>
        <w:rPr>
          <w:color w:val="auto"/>
        </w:rPr>
        <w:t>, ni tampoco a otros distritos que en el imaginario ciudadano se asocian al ocio juvenil (como el distrito de Gracia). Tal vez esto se deba a las limitaciones del muestreo, aunque también podría ser que el turismo y su ocio nocturno, relativamente concentrados en el casco antiguo (</w:t>
      </w:r>
      <w:proofErr w:type="spellStart"/>
      <w:r>
        <w:rPr>
          <w:color w:val="auto"/>
        </w:rPr>
        <w:t>Ciutat</w:t>
      </w:r>
      <w:proofErr w:type="spellEnd"/>
      <w:r>
        <w:rPr>
          <w:color w:val="auto"/>
        </w:rPr>
        <w:t xml:space="preserve"> Vella), sean los mayores motores del consumo inapropiado visible. Otros estudios han mostrado que una mayor densidad de locales y una mayor amplitud de horarios de venta se asocian a un mayor consumo de alcohol y un mayor impacto</w:t>
      </w:r>
      <w:r w:rsidR="003E1F80">
        <w:rPr>
          <w:color w:val="auto"/>
        </w:rPr>
        <w:t xml:space="preserve"> </w:t>
      </w:r>
      <w:r>
        <w:rPr>
          <w:color w:val="auto"/>
        </w:rPr>
        <w:fldChar w:fldCharType="begin"/>
      </w:r>
      <w:r w:rsidR="00464402">
        <w:rPr>
          <w:color w:val="auto"/>
        </w:rPr>
        <w:instrText xml:space="preserve"> ADDIN ZOTERO_ITEM CSL_CITATION {"citationID":"I9JwTp1q","properties":{"formattedCitation":"(Popova et al., 2009)","plainCitation":"(Popova et al., 2009)"},"citationItems":[{"id":2576,"uris":["http://zotero.org/groups/71722/items/HPSHNDW8"],"uri":["http://zotero.org/groups/71722/items/HPSHNDW8"],"itemData":{"id":2576,"type":"article-journal","title":"Hours and days of sale and density of alcohol outlets: impacts on alcohol consumption and damage: a systematic review","container-title":"Alcohol Alcohol","page":"500-516","volume":"44","issue":"5","source":"PubMed","abstract":"AIMS: The aim of this study was to examine recent research studies published from 2000 to 2008 focusing on availability of alcohol: hours and days of sale and density of alcohol outlets.\nMETHODS: Systematic review.\nRESULTS: Forty-four studies on density of alcohol outlets and 15 studies on hours and days of sale were identified through a systematic literature search. The majority of studies reviewed found that alcohol outlet density and hours and days of sale had an impact on one or more of the three main outcome variables, such as overall alcohol consumption, drinking patterns and damage from alcohol.\nCONCLUSIONS: Restricting availability of alcohol is an effective measure to prevent alcohol-attributable harm.","DOI":"10.1093/alcalc/agp054","ISSN":"1464-3502","note":"PMID: 19734159","shortTitle":"Hours and days of sale and density of alcohol outlets","journalAbbreviation":"Alcohol Alcohol","language":"eng","author":[{"family":"Popova","given":"Svetlana"},{"family":"Giesbrecht","given":"Norman"},{"family":"Bekmuradov","given":"Dennis"},{"family":"Patra","given":"Jayadeep"}],"issued":{"date-parts":[["2009"]]}}}],"schema":"https://github.com/citation-style-language/schema/raw/master/csl-citation.json"} </w:instrText>
      </w:r>
      <w:r>
        <w:rPr>
          <w:color w:val="auto"/>
        </w:rPr>
        <w:fldChar w:fldCharType="separate"/>
      </w:r>
      <w:r w:rsidR="0093499C" w:rsidRPr="0093499C">
        <w:t>(Popova et al., 2009)</w:t>
      </w:r>
      <w:r>
        <w:rPr>
          <w:color w:val="auto"/>
        </w:rPr>
        <w:fldChar w:fldCharType="end"/>
      </w:r>
      <w:r>
        <w:rPr>
          <w:color w:val="auto"/>
        </w:rPr>
        <w:t xml:space="preserve">. </w:t>
      </w:r>
    </w:p>
    <w:p w:rsidR="005F3B07" w:rsidRDefault="005F3B07" w:rsidP="005F3B07">
      <w:pPr>
        <w:spacing w:line="360" w:lineRule="auto"/>
        <w:jc w:val="both"/>
        <w:rPr>
          <w:color w:val="auto"/>
        </w:rPr>
      </w:pPr>
    </w:p>
    <w:p w:rsidR="000E0EE9" w:rsidRPr="005F3B07" w:rsidRDefault="000E0EE9" w:rsidP="001E5000">
      <w:pPr>
        <w:autoSpaceDE w:val="0"/>
        <w:autoSpaceDN w:val="0"/>
        <w:adjustRightInd w:val="0"/>
        <w:spacing w:line="360" w:lineRule="auto"/>
        <w:jc w:val="both"/>
      </w:pPr>
      <w:r>
        <w:rPr>
          <w:color w:val="auto"/>
        </w:rPr>
        <w:t xml:space="preserve">Existen estimaciones de la densidad de locales por población en los países nórdicos y bálticos (aunque de ámbito territorial superior al municipal) que muestran una oferta muy inferior a la que hemos registrado en la ciudad </w:t>
      </w:r>
      <w:r>
        <w:rPr>
          <w:color w:val="auto"/>
        </w:rPr>
        <w:fldChar w:fldCharType="begin"/>
      </w:r>
      <w:r w:rsidR="00464402">
        <w:rPr>
          <w:color w:val="auto"/>
        </w:rPr>
        <w:instrText xml:space="preserve"> ADDIN ZOTERO_ITEM CSL_CITATION {"citationID":"afshunlcrj","properties":{"formattedCitation":"(Orro, Martens, Lepane, Josing, &amp; Reiman, 2015)","plainCitation":"(Orro, Martens, Lepane, Josing, &amp; Reiman, 2015)"},"citationItems":[{"id":1551,"uris":["http://zotero.org/groups/71722/items/BM2CWX92"],"uri":["http://zotero.org/groups/71722/items/BM2CWX92"],"itemData":{"id":1551,"type":"book","title":"Alcohol market, consumption and harms in Estonia","publisher":"Eesti Konjunktuuriinstituut","publisher-place":"Tallinn","event-place":"Tallinn","author":[{"family":"Orro","given":"E"},{"family":"Martens","given":"K"},{"family":"Lepane","given":"L"},{"family":"Josing","given":"M"},{"family":"Reiman","given":"M"}],"issued":{"date-parts":[["2015"]]}}}],"schema":"https://github.com/citation-style-language/schema/raw/master/csl-citation.json"} </w:instrText>
      </w:r>
      <w:r>
        <w:rPr>
          <w:color w:val="auto"/>
        </w:rPr>
        <w:fldChar w:fldCharType="separate"/>
      </w:r>
      <w:r w:rsidR="00291E6C">
        <w:t>(</w:t>
      </w:r>
      <w:proofErr w:type="spellStart"/>
      <w:r w:rsidR="00291E6C">
        <w:t>Orro</w:t>
      </w:r>
      <w:proofErr w:type="spellEnd"/>
      <w:r w:rsidR="00291E6C">
        <w:t xml:space="preserve">, Martens, </w:t>
      </w:r>
      <w:proofErr w:type="spellStart"/>
      <w:r w:rsidR="00291E6C">
        <w:t>Lepane</w:t>
      </w:r>
      <w:proofErr w:type="spellEnd"/>
      <w:r w:rsidR="00291E6C">
        <w:t xml:space="preserve">, </w:t>
      </w:r>
      <w:proofErr w:type="spellStart"/>
      <w:r w:rsidR="00291E6C">
        <w:t>Josing</w:t>
      </w:r>
      <w:proofErr w:type="spellEnd"/>
      <w:r w:rsidR="00291E6C">
        <w:t xml:space="preserve"> y</w:t>
      </w:r>
      <w:r w:rsidR="0093499C" w:rsidRPr="0093499C">
        <w:t xml:space="preserve"> </w:t>
      </w:r>
      <w:proofErr w:type="spellStart"/>
      <w:r w:rsidR="0093499C" w:rsidRPr="0093499C">
        <w:t>Reiman</w:t>
      </w:r>
      <w:proofErr w:type="spellEnd"/>
      <w:r w:rsidR="0093499C" w:rsidRPr="0093499C">
        <w:t>, 2015)</w:t>
      </w:r>
      <w:r>
        <w:rPr>
          <w:color w:val="auto"/>
        </w:rPr>
        <w:fldChar w:fldCharType="end"/>
      </w:r>
      <w:r>
        <w:rPr>
          <w:color w:val="auto"/>
        </w:rPr>
        <w:t xml:space="preserve">. No se pueden contrastar estos hallazgos en la ciudad de Barcelona con otras ciudades de nuestro entorno por carecer de datos comparativos, </w:t>
      </w:r>
      <w:r w:rsidR="005F3B07">
        <w:rPr>
          <w:color w:val="auto"/>
        </w:rPr>
        <w:t>así</w:t>
      </w:r>
      <w:r>
        <w:rPr>
          <w:color w:val="auto"/>
        </w:rPr>
        <w:t xml:space="preserve"> que ignoramos si esta situación es mejor o peor en otras capitales. Algunos elementos (como las ordenanzas municipales vigentes para las terrazas y para la convivencia ciudadana, o la legislación catalana sobre venta de alcohol)</w:t>
      </w:r>
      <w:r w:rsidR="003E1F80">
        <w:rPr>
          <w:color w:val="auto"/>
        </w:rPr>
        <w:t xml:space="preserve"> </w:t>
      </w:r>
      <w:r>
        <w:rPr>
          <w:color w:val="auto"/>
        </w:rPr>
        <w:fldChar w:fldCharType="begin"/>
      </w:r>
      <w:r w:rsidR="0093499C">
        <w:rPr>
          <w:color w:val="auto"/>
        </w:rPr>
        <w:instrText xml:space="preserve"> ADDIN ZOTERO_ITEM CSL_CITATION {"citationID":"2b6mrddie1","properties":{"formattedCitation":"{\\rtf (Villalb\\uc0\\u237{} et al., 2015)}","plainCitation":"(Villalbí et al., 2015)"},"citationItems":[{"id":4281,"uris":["http://zotero.org/groups/71722/items/UKB7Z9MA"],"uri":["http://zotero.org/groups/71722/items/UKB7Z9MA"],"itemData":{"id":4281,"type":"article-journal","title":"Enforcing regulations on alcohol sales and use as universal environmental prevention","container-title":"Adicciones","page":"288-293","volume":"27","issue":"4","abstract":"The informal social control over alcohol consumption that was traditional in Southern European countries has weakened. At the same time there is an increase in binge drinking and drunkenness among young people in Spain. To mitigate this problem, regulations on alcohol and driving and restrictions on the sale and consumption of alcohol have been adopted. This paper documents the current regulations in the city of Barcelona and describes efforts to enforce them and their outcomes. Data from the municipal information systems on infringements reported for the period 2008-13 are provided. \n\nThere is an increasing pressure of municipal services to enforce the rules in two areas: a) alcohol sales at night (retailers); and b) consumption in the public space (citizens). An increase in the controls of drink-driving has also taken place, and the proportion above legal limits has decreased. The largest relative increase occurred in the control of retailers. \n\nIn Barcelona interventions are made to limit the supply and consumption of alcohol at low cost and during the night, and of driving under the influence of alcohol. There have been no documented episodes of massive drinking in public spaces (known as ‘botellón’) in the city. These actions, which complement other preventive efforts based on health education, can change the social perceptions of alcohol by minors in a direction less favorable to consumption, promoting environmental prevention.","journalAbbreviation":"Adicciones","author":[{"family":"Villalbí","given":"JR"},{"family":"Bartroli","given":"M"},{"family":"Bosque-Prous","given":"M"},{"family":"Guitart","given":"AM"},{"family":"Serra-Batiste","given":"E"},{"family":"Casas","given":"C"},{"family":"Brugal","given":"MT"}],"issued":{"date-parts":[["2015"]]}}}],"schema":"https://github.com/citation-style-language/schema/raw/master/csl-citation.json"} </w:instrText>
      </w:r>
      <w:r>
        <w:rPr>
          <w:color w:val="auto"/>
        </w:rPr>
        <w:fldChar w:fldCharType="separate"/>
      </w:r>
      <w:r w:rsidR="0093499C" w:rsidRPr="0093499C">
        <w:t>(Villalbí et al., 2015)</w:t>
      </w:r>
      <w:r>
        <w:rPr>
          <w:color w:val="auto"/>
        </w:rPr>
        <w:fldChar w:fldCharType="end"/>
      </w:r>
      <w:r>
        <w:rPr>
          <w:color w:val="auto"/>
        </w:rPr>
        <w:t>, pueden tener cierta influencia en la ciudad, en la que por otra parte nunca se han registrado fenómenos de botellón masivo como los descritos en otras capitales</w:t>
      </w:r>
      <w:r w:rsidR="003E1F80">
        <w:rPr>
          <w:color w:val="auto"/>
        </w:rPr>
        <w:t xml:space="preserve"> españolas</w:t>
      </w:r>
      <w:r>
        <w:rPr>
          <w:color w:val="auto"/>
        </w:rPr>
        <w:t>. Actualmente, la diversidad territorial de la normativa en esta materia es notable en España</w:t>
      </w:r>
      <w:r w:rsidR="003E1F80">
        <w:rPr>
          <w:color w:val="auto"/>
        </w:rPr>
        <w:t xml:space="preserve"> </w:t>
      </w:r>
      <w:r>
        <w:rPr>
          <w:color w:val="auto"/>
        </w:rPr>
        <w:fldChar w:fldCharType="begin"/>
      </w:r>
      <w:r w:rsidR="00464402">
        <w:rPr>
          <w:color w:val="auto"/>
        </w:rPr>
        <w:instrText xml:space="preserve"> ADDIN ZOTERO_ITEM CSL_CITATION {"citationID":"28hcoh3kh0","properties":{"formattedCitation":"{\\rtf (Mart\\uc0\\u237{}n, Sim\\uc0\\u243{}, &amp; Garc\\uc0\\u237{}a, 2009)}","plainCitation":"(Martín, Simó, &amp; García, 2009)"},"citationItems":[{"id":1043,"uris":["http://zotero.org/groups/71722/items/8IACF72T"],"uri":["http://zotero.org/groups/71722/items/8IACF72T"],"itemData":{"id":1043,"type":"chapter","title":"Acción 6. Proyecto de análisis y mejora de la normativa sobre alcohol y menores y su implementación en el territorio nacional","container-title":"Estrategia Nacional sobre drogas 2009-2016. Plan de Acción Sobre drogas 2013-2016","publisher":"Delegación del Gobierno para el Plan Nacional sobre Drogas","publisher-place":"Madrid","event-place":"Madrid","author":[{"family":"Martín","given":"E"},{"family":"Simó","given":"L"},{"family":"García","given":"V"}],"issued":{"date-parts":[["2009"]]}}}],"schema":"https://github.com/citation-style-language/schema/raw/master/csl-citation.json"} </w:instrText>
      </w:r>
      <w:r>
        <w:rPr>
          <w:color w:val="auto"/>
        </w:rPr>
        <w:fldChar w:fldCharType="separate"/>
      </w:r>
      <w:r w:rsidR="0093499C" w:rsidRPr="0093499C">
        <w:t xml:space="preserve">(Martín, </w:t>
      </w:r>
      <w:proofErr w:type="spellStart"/>
      <w:r w:rsidR="0093499C" w:rsidRPr="0093499C">
        <w:t>Simó</w:t>
      </w:r>
      <w:proofErr w:type="spellEnd"/>
      <w:r w:rsidR="00291E6C">
        <w:t xml:space="preserve"> y</w:t>
      </w:r>
      <w:r w:rsidR="0093499C" w:rsidRPr="0093499C">
        <w:t xml:space="preserve"> García, 2009)</w:t>
      </w:r>
      <w:r>
        <w:rPr>
          <w:color w:val="auto"/>
        </w:rPr>
        <w:fldChar w:fldCharType="end"/>
      </w:r>
      <w:r>
        <w:rPr>
          <w:color w:val="auto"/>
        </w:rPr>
        <w:t>.</w:t>
      </w:r>
      <w:r w:rsidR="003E1F80">
        <w:rPr>
          <w:color w:val="auto"/>
        </w:rPr>
        <w:t xml:space="preserve"> </w:t>
      </w:r>
      <w:r>
        <w:t xml:space="preserve">Creemos que tras este estudio piloto en una sola ciudad debería ser posible abordar estudios más ambiciosos que permitan la comparación de varios territorios sujetos a distintas políticas públicas </w:t>
      </w:r>
      <w:r w:rsidRPr="00201140">
        <w:t xml:space="preserve">que afecten al alcohol. </w:t>
      </w:r>
      <w:r w:rsidR="005F3B07" w:rsidRPr="00201140">
        <w:rPr>
          <w:color w:val="auto"/>
        </w:rPr>
        <w:t xml:space="preserve">Además, nos proponemos analizar la relación entre estas </w:t>
      </w:r>
      <w:r w:rsidR="005F3B07" w:rsidRPr="00201140">
        <w:rPr>
          <w:color w:val="auto"/>
        </w:rPr>
        <w:lastRenderedPageBreak/>
        <w:t>variables y el consumo de los adolescentes, del que disponemos de datos auto-referidos mediante encuestas representativas</w:t>
      </w:r>
      <w:r w:rsidR="00464402" w:rsidRPr="00201140">
        <w:rPr>
          <w:color w:val="auto"/>
        </w:rPr>
        <w:t xml:space="preserve"> </w:t>
      </w:r>
      <w:r w:rsidR="00464402" w:rsidRPr="00201140">
        <w:rPr>
          <w:color w:val="auto"/>
        </w:rPr>
        <w:fldChar w:fldCharType="begin"/>
      </w:r>
      <w:r w:rsidR="00464402" w:rsidRPr="00201140">
        <w:rPr>
          <w:color w:val="auto"/>
        </w:rPr>
        <w:instrText xml:space="preserve"> ADDIN ZOTERO_ITEM CSL_CITATION {"citationID":"a28rmuhkf0k","properties":{"formattedCitation":"{\\rtf (Santamari\\uc0\\u241{}a-Rubio, Serral-Cano, &amp; Ariza, 2017)}","plainCitation":"(Santamariña-Rubio, Serral-Cano, &amp; Ariza, 2017)"},"citationItems":[{"id":10420,"uris":["http://zotero.org/groups/71722/items/XKMC9WDG"],"uri":["http://zotero.org/groups/71722/items/XKMC9WDG"],"itemData":{"id":10420,"type":"book","title":"La salut i els seus determinants en l’alumnat adolescent de Barcelona. Enquesta FRESC 2016.","publisher":"Agència de Salut Pública de Barcelona","publisher-place":"Barcelona","event-place":"Barcelona","author":[{"family":"Santamariña-Rubio","given":"E"},{"family":"Serral-Cano","given":"G"},{"family":"Ariza","given":"C"}],"issued":{"date-parts":[["2017"]]}}}],"schema":"https://github.com/citation-style-language/schema/raw/master/csl-citation.json"} </w:instrText>
      </w:r>
      <w:r w:rsidR="00464402" w:rsidRPr="00201140">
        <w:rPr>
          <w:color w:val="auto"/>
        </w:rPr>
        <w:fldChar w:fldCharType="separate"/>
      </w:r>
      <w:r w:rsidR="0093499C" w:rsidRPr="00201140">
        <w:t>(</w:t>
      </w:r>
      <w:proofErr w:type="spellStart"/>
      <w:r w:rsidR="0093499C" w:rsidRPr="00201140">
        <w:t>S</w:t>
      </w:r>
      <w:r w:rsidR="00291E6C">
        <w:t>antamariña</w:t>
      </w:r>
      <w:proofErr w:type="spellEnd"/>
      <w:r w:rsidR="00291E6C">
        <w:t xml:space="preserve">-Rubio, </w:t>
      </w:r>
      <w:proofErr w:type="spellStart"/>
      <w:r w:rsidR="00291E6C">
        <w:t>Serral</w:t>
      </w:r>
      <w:proofErr w:type="spellEnd"/>
      <w:r w:rsidR="00291E6C">
        <w:t>-Cano y</w:t>
      </w:r>
      <w:r w:rsidR="0093499C" w:rsidRPr="00201140">
        <w:t xml:space="preserve"> Ariza, 2017)</w:t>
      </w:r>
      <w:r w:rsidR="00464402" w:rsidRPr="00201140">
        <w:rPr>
          <w:color w:val="auto"/>
        </w:rPr>
        <w:fldChar w:fldCharType="end"/>
      </w:r>
      <w:r w:rsidR="00C61C5B" w:rsidRPr="00201140">
        <w:rPr>
          <w:color w:val="auto"/>
        </w:rPr>
        <w:t xml:space="preserve"> y que no se ha estudiado antes en nuestro medio</w:t>
      </w:r>
      <w:r w:rsidR="00464402" w:rsidRPr="00201140">
        <w:rPr>
          <w:color w:val="auto"/>
        </w:rPr>
        <w:t xml:space="preserve">. </w:t>
      </w:r>
      <w:r w:rsidRPr="00201140">
        <w:rPr>
          <w:color w:val="auto"/>
        </w:rPr>
        <w:t>Una regulación</w:t>
      </w:r>
      <w:r>
        <w:rPr>
          <w:color w:val="auto"/>
        </w:rPr>
        <w:t xml:space="preserve"> más rigurosa de la promoción, la disponibilidad y el consumo de alcohol, y acciones que garanticen su cumplimiento podrían reducir el número de estímulos visuales asociados a las bebidas alcohólicas. Esto podría cambiar la actual imagen social del alcohol, que parece favorecer un mayor consumo por parte de la población, y especialmente de los jóvenes y los menores</w:t>
      </w:r>
      <w:r w:rsidR="003E1F80">
        <w:rPr>
          <w:color w:val="auto"/>
        </w:rPr>
        <w:t xml:space="preserve"> </w:t>
      </w:r>
      <w:r>
        <w:rPr>
          <w:color w:val="auto"/>
        </w:rPr>
        <w:fldChar w:fldCharType="begin"/>
      </w:r>
      <w:r w:rsidR="00464402">
        <w:rPr>
          <w:color w:val="auto"/>
        </w:rPr>
        <w:instrText xml:space="preserve"> ADDIN ZOTERO_ITEM CSL_CITATION {"citationID":"EYL0OcyB","properties":{"formattedCitation":"(Babor, 2010; Bryden et al., 2012; Luty, 2016)","plainCitation":"(Babor, 2010; Bryden et al., 2012; Luty, 2016)"},"citationItems":[{"id":4188,"uris":["http://zotero.org/groups/71722/items/TXHC4R88"],"uri":["http://zotero.org/groups/71722/items/TXHC4R88"],"itemData":{"id":4188,"type":"article-journal","title":"Public health science and the global strategy on alcohol","container-title":"Bull World Health Organ","page":"643","volume":"88","issue":"9","source":"NCBI PubMed","DOI":"10.2471/BLT.10.081729","ISSN":"1564-0604","note":"PMID: 20865064","journalAbbreviation":"Bull World Health Organ","author":[{"family":"Babor","given":"Thomas F"}],"issued":{"date-parts":[["2010"]]}}},{"id":2366,"uris":["http://zotero.org/groups/71722/items/GEW8UHSR"],"uri":["http://zotero.org/groups/71722/items/GEW8UHSR"],"itemData":{"id":2366,"type":"article-journal","title":"Alcohol policy and public health","container-title":"BJPsych Advances","page":"402–411","volume":"22","issue":"6","source":"Google Scholar","author":[{"family":"Luty","given":"Jason"}],"issued":{"date-parts":[["2016"]]}}},{"id":2111,"uris":["http://zotero.org/groups/71722/items/EXV24J8D"],"uri":["http://zotero.org/groups/71722/items/EXV24J8D"],"itemData":{"id":2111,"type":"article-journal","title":"A systematic review of the influence on alcohol use of community level availability and marketing of alcohol","container-title":"Health Place","page":"349-357","volume":"18","issue":"2","source":"PubMed","abstract":"PURPOSE: Exposure to a high number of alcohol outlets and adverts within a community may lead to higher alcohol use by local residents. The aim of this systematic review was to explore evidence on the influence on alcohol use of community level availability and marketing of alcohol.\nRESULTS: 26 studies met the eligibility criteria. While the findings were not conclusive, there was some indication that higher outlet density and greater exposure to advertising in a local community may be associated with an increase in alcohol use, particularly among adolescents.\nCONCLUSIONS: This review disentangled the existing evidence on the overall relationships between availability, marketing and alcohol use at a community level. Further studies are required to better understand the influence of these factors on alcohol use.","DOI":"10.1016/j.healthplace.2011.11.003","ISSN":"1873-2054","note":"PMID: 22154843","journalAbbreviation":"Health Place","language":"eng","author":[{"family":"Bryden","given":"Anna"},{"family":"Roberts","given":"Bayard"},{"family":"McKee","given":"Martin"},{"family":"Petticrew","given":"Mark"}],"issued":{"date-parts":[["2012"]]}}}],"schema":"https://github.com/citation-style-language/schema/raw/master/csl-citation.json"} </w:instrText>
      </w:r>
      <w:r>
        <w:rPr>
          <w:color w:val="auto"/>
        </w:rPr>
        <w:fldChar w:fldCharType="separate"/>
      </w:r>
      <w:r w:rsidR="0093499C" w:rsidRPr="0093499C">
        <w:t>(Babor, 2010; Bryden et al., 2012; Luty, 2016)</w:t>
      </w:r>
      <w:r>
        <w:rPr>
          <w:color w:val="auto"/>
        </w:rPr>
        <w:fldChar w:fldCharType="end"/>
      </w:r>
      <w:r>
        <w:rPr>
          <w:color w:val="auto"/>
        </w:rPr>
        <w:t>. En este sentido, las políticas locales han mostrado un potencial importante para reducir el daño causado por el alcohol, especialmente entre jóvenes</w:t>
      </w:r>
      <w:r w:rsidR="003E1F80">
        <w:rPr>
          <w:color w:val="auto"/>
        </w:rPr>
        <w:t xml:space="preserve"> </w:t>
      </w:r>
      <w:r>
        <w:rPr>
          <w:color w:val="auto"/>
        </w:rPr>
        <w:fldChar w:fldCharType="begin"/>
      </w:r>
      <w:r w:rsidR="00464402">
        <w:rPr>
          <w:color w:val="auto"/>
        </w:rPr>
        <w:instrText xml:space="preserve"> ADDIN ZOTERO_ITEM CSL_CITATION {"citationID":"2ft777rg9m","properties":{"formattedCitation":"(de Goeij et al., 2016)","plainCitation":"(de Goeij et al., 2016)"},"citationItems":[{"id":4497,"uris":["http://zotero.org/groups/71722/items/VX7TTPH2"],"uri":["http://zotero.org/groups/71722/items/VX7TTPH2"],"itemData":{"id":4497,"type":"article-journal","title":"Impact of Cross-Sectoral Alcohol Policy on Youth Alcohol Consumption","container-title":"J Stud Alcohol Drugs","page":"596-605","volume":"77","issue":"4","source":"PubMed","abstract":"OBJECTIVE: Cross-sectoral alcohol policy is recommended to reduce youth alcohol consumption, but little evidence is available on its effectiveness. Therefore, we examined whether regions and municipalities in the Dutch province of Noord-Brabant with stronger cross-sectoral alcohol policy showed larger reductions in alcohol consumption among adolescents aged 12-15.\nMETHOD: Strong regional cross-sectoral alcohol policy was defined as participation in a regional alcohol prevention program. Strong municipal cross-sectoral alcohol policy was operationalized by measures on (a) sector variety: involvement of different policy sectors, and (b) strategy variety: formulation of different policy strategies. Relevant data from policy documents were searched for on the Internet. Data on trends in alcohol consumption were extracted from the 2007 and 2011 cross-sectional Youth Health Monitor that includes a random subset of adolescents aged 12-15 (n = 15,380 in 2007 and n = 15,437 in 2011). We used multilevel regression models.\nRESULTS: Two of the three regions in which municipalities participated in a regional alcohol prevention program showed a larger reduction in weekly drinking than the region in which municipalities did not participate (-12.2% and -13.4% vs. -8.3%). Municipalities with strong compared to weak sector variety showed a larger increase in adolescents' age at consuming their first alcoholic drink (0.63 vs. 0.42 years). Municipalities with strong strategy variety showed a decrease (-3.8%) in heavy weekly drinking, whereas those with weak variety showed an increase (5.1%). Cross-sectoral alcohol policy did not affect trends in other alcohol outcomes.\nCONCLUSIONS: Our results suggest that strong cross-sectoral alcohol policy may contribute to reducing some aspects of youth alcohol consumption. Monitoring policy implementation is needed to assess the full impact.","ISSN":"1938-4114","note":"PMID: 27340964","journalAbbreviation":"J Stud Alcohol Drugs","language":"eng","author":[{"family":"Goeij","given":"Moniek C. M.","non-dropping-particle":"de"},{"family":"Jacobs","given":"Monique A. M."},{"family":"Nierop","given":"Peter","non-dropping-particle":"van"},{"family":"Veeken-Vlassak","given":"Ivanka A. G.","non-dropping-particle":"van der"},{"family":"Mheen","given":"Dike","non-dropping-particle":"van de"},{"family":"Schoenmakers","given":"Tim M."},{"family":"Harting","given":"Janneke"},{"family":"Kunst","given":"Anton E."}],"issued":{"date-parts":[["2016"]]}}}],"schema":"https://github.com/citation-style-language/schema/raw/master/csl-citation.json"} </w:instrText>
      </w:r>
      <w:r>
        <w:rPr>
          <w:color w:val="auto"/>
        </w:rPr>
        <w:fldChar w:fldCharType="separate"/>
      </w:r>
      <w:r w:rsidR="0093499C" w:rsidRPr="0093499C">
        <w:t>(de Goeij et al., 2016)</w:t>
      </w:r>
      <w:r>
        <w:rPr>
          <w:color w:val="auto"/>
        </w:rPr>
        <w:fldChar w:fldCharType="end"/>
      </w:r>
      <w:r>
        <w:rPr>
          <w:color w:val="auto"/>
        </w:rPr>
        <w:t xml:space="preserve">. </w:t>
      </w:r>
    </w:p>
    <w:p w:rsidR="000E0EE9" w:rsidRDefault="000E0EE9" w:rsidP="005F3B07">
      <w:pPr>
        <w:pStyle w:val="authors"/>
        <w:spacing w:before="0" w:beforeAutospacing="0" w:after="0" w:afterAutospacing="0" w:line="360" w:lineRule="auto"/>
        <w:jc w:val="both"/>
        <w:rPr>
          <w:rFonts w:ascii="Arial" w:hAnsi="Arial" w:cs="Arial"/>
        </w:rPr>
      </w:pPr>
    </w:p>
    <w:p w:rsidR="000E0EE9" w:rsidRDefault="000E0EE9" w:rsidP="005F3B07">
      <w:pPr>
        <w:spacing w:line="360" w:lineRule="auto"/>
        <w:jc w:val="both"/>
        <w:rPr>
          <w:rFonts w:ascii="Arial Unicode MS" w:eastAsia="Arial Unicode MS" w:hAnsi="Arial Unicode MS"/>
          <w:vanish/>
          <w:color w:val="auto"/>
          <w:sz w:val="20"/>
          <w:szCs w:val="20"/>
          <w:lang w:val="es-ES_tradnl"/>
        </w:rPr>
      </w:pPr>
      <w:r>
        <w:rPr>
          <w:color w:val="auto"/>
        </w:rPr>
        <w:t xml:space="preserve">Reconocimientos: Los autores agradecen a Lucía Baranda su inestimable ayuda en la preparación del formulario de recogida de datos y en la gestión del trabajo de campo. Este trabajo ha sido posible gracias a la financiación parcial del Plan Nacional sobre Drogas (2016I029) y </w:t>
      </w:r>
      <w:r w:rsidRPr="00874740">
        <w:rPr>
          <w:color w:val="auto"/>
        </w:rPr>
        <w:t xml:space="preserve">del </w:t>
      </w:r>
      <w:proofErr w:type="spellStart"/>
      <w:r w:rsidRPr="00874740">
        <w:rPr>
          <w:color w:val="auto"/>
        </w:rPr>
        <w:t>European</w:t>
      </w:r>
      <w:proofErr w:type="spellEnd"/>
      <w:r w:rsidRPr="00874740">
        <w:rPr>
          <w:color w:val="auto"/>
        </w:rPr>
        <w:t xml:space="preserve"> </w:t>
      </w:r>
      <w:proofErr w:type="spellStart"/>
      <w:r w:rsidRPr="00874740">
        <w:rPr>
          <w:color w:val="auto"/>
        </w:rPr>
        <w:t>Research</w:t>
      </w:r>
      <w:proofErr w:type="spellEnd"/>
      <w:r w:rsidRPr="00874740">
        <w:rPr>
          <w:color w:val="auto"/>
        </w:rPr>
        <w:t xml:space="preserve"> Council </w:t>
      </w:r>
      <w:proofErr w:type="spellStart"/>
      <w:r w:rsidRPr="00874740">
        <w:rPr>
          <w:color w:val="auto"/>
        </w:rPr>
        <w:t>under</w:t>
      </w:r>
      <w:proofErr w:type="spellEnd"/>
      <w:r w:rsidRPr="00874740">
        <w:rPr>
          <w:color w:val="auto"/>
        </w:rPr>
        <w:t xml:space="preserve"> </w:t>
      </w:r>
      <w:proofErr w:type="spellStart"/>
      <w:r w:rsidRPr="00874740">
        <w:rPr>
          <w:color w:val="auto"/>
        </w:rPr>
        <w:t>the</w:t>
      </w:r>
      <w:proofErr w:type="spellEnd"/>
      <w:r w:rsidRPr="00874740">
        <w:rPr>
          <w:color w:val="auto"/>
        </w:rPr>
        <w:t xml:space="preserve"> </w:t>
      </w:r>
      <w:proofErr w:type="spellStart"/>
      <w:r w:rsidRPr="00874740">
        <w:rPr>
          <w:color w:val="auto"/>
        </w:rPr>
        <w:t>European</w:t>
      </w:r>
      <w:proofErr w:type="spellEnd"/>
      <w:r w:rsidRPr="00874740">
        <w:rPr>
          <w:color w:val="auto"/>
        </w:rPr>
        <w:t xml:space="preserve"> </w:t>
      </w:r>
      <w:proofErr w:type="spellStart"/>
      <w:r w:rsidRPr="00874740">
        <w:rPr>
          <w:color w:val="auto"/>
        </w:rPr>
        <w:t>Union’s</w:t>
      </w:r>
      <w:proofErr w:type="spellEnd"/>
      <w:r w:rsidRPr="00874740">
        <w:rPr>
          <w:color w:val="auto"/>
        </w:rPr>
        <w:t xml:space="preserve"> </w:t>
      </w:r>
      <w:proofErr w:type="spellStart"/>
      <w:r w:rsidRPr="00874740">
        <w:rPr>
          <w:color w:val="auto"/>
        </w:rPr>
        <w:t>Seventh</w:t>
      </w:r>
      <w:proofErr w:type="spellEnd"/>
      <w:r w:rsidRPr="00874740">
        <w:rPr>
          <w:color w:val="auto"/>
        </w:rPr>
        <w:t xml:space="preserve"> Framework </w:t>
      </w:r>
      <w:proofErr w:type="spellStart"/>
      <w:r w:rsidRPr="00874740">
        <w:rPr>
          <w:color w:val="auto"/>
        </w:rPr>
        <w:t>Programme</w:t>
      </w:r>
      <w:proofErr w:type="spellEnd"/>
      <w:r w:rsidRPr="00874740">
        <w:rPr>
          <w:color w:val="auto"/>
        </w:rPr>
        <w:t xml:space="preserve"> (FP7/2007– 2013/ERC </w:t>
      </w:r>
      <w:proofErr w:type="spellStart"/>
      <w:r w:rsidRPr="00874740">
        <w:rPr>
          <w:color w:val="auto"/>
        </w:rPr>
        <w:t>Starting</w:t>
      </w:r>
      <w:proofErr w:type="spellEnd"/>
      <w:r w:rsidRPr="00874740">
        <w:rPr>
          <w:color w:val="auto"/>
        </w:rPr>
        <w:t xml:space="preserve"> </w:t>
      </w:r>
      <w:proofErr w:type="spellStart"/>
      <w:r w:rsidRPr="00874740">
        <w:rPr>
          <w:color w:val="auto"/>
        </w:rPr>
        <w:t>Grant</w:t>
      </w:r>
      <w:proofErr w:type="spellEnd"/>
      <w:r w:rsidRPr="00874740">
        <w:rPr>
          <w:color w:val="auto"/>
        </w:rPr>
        <w:t xml:space="preserve"> </w:t>
      </w:r>
      <w:proofErr w:type="spellStart"/>
      <w:r w:rsidRPr="00874740">
        <w:rPr>
          <w:color w:val="auto"/>
        </w:rPr>
        <w:t>HeartHealthyHoods</w:t>
      </w:r>
      <w:proofErr w:type="spellEnd"/>
      <w:r w:rsidRPr="00874740">
        <w:rPr>
          <w:color w:val="auto"/>
        </w:rPr>
        <w:t xml:space="preserve"> </w:t>
      </w:r>
      <w:proofErr w:type="spellStart"/>
      <w:r w:rsidRPr="00874740">
        <w:rPr>
          <w:color w:val="auto"/>
        </w:rPr>
        <w:t>Agreement</w:t>
      </w:r>
      <w:proofErr w:type="spellEnd"/>
      <w:r>
        <w:rPr>
          <w:color w:val="auto"/>
        </w:rPr>
        <w:t xml:space="preserve"> n. 336893</w:t>
      </w:r>
      <w:r>
        <w:rPr>
          <w:color w:val="auto"/>
          <w:lang w:val="es-ES_tradnl"/>
        </w:rPr>
        <w:t xml:space="preserve">). </w:t>
      </w:r>
    </w:p>
    <w:p w:rsidR="000E0EE9" w:rsidRDefault="000E0EE9" w:rsidP="005F3B07">
      <w:pPr>
        <w:spacing w:line="360" w:lineRule="auto"/>
        <w:jc w:val="both"/>
        <w:rPr>
          <w:lang w:val="es-ES_tradnl"/>
        </w:rPr>
      </w:pPr>
    </w:p>
    <w:p w:rsidR="003E1F80" w:rsidRDefault="003E1F80" w:rsidP="005F3B07">
      <w:pPr>
        <w:spacing w:line="360" w:lineRule="auto"/>
        <w:jc w:val="both"/>
        <w:rPr>
          <w:color w:val="auto"/>
        </w:rPr>
      </w:pPr>
    </w:p>
    <w:p w:rsidR="000E0EE9" w:rsidRDefault="000E0EE9" w:rsidP="005F3B07">
      <w:pPr>
        <w:spacing w:line="360" w:lineRule="auto"/>
        <w:jc w:val="both"/>
        <w:rPr>
          <w:color w:val="auto"/>
        </w:rPr>
      </w:pPr>
      <w:r>
        <w:rPr>
          <w:color w:val="auto"/>
        </w:rPr>
        <w:t>Conflicto de intereses: los autores declaran no tener conflicto de intereses.</w:t>
      </w:r>
    </w:p>
    <w:p w:rsidR="000E0EE9" w:rsidRDefault="000E0EE9">
      <w:pPr>
        <w:jc w:val="both"/>
        <w:rPr>
          <w:color w:val="auto"/>
        </w:rPr>
      </w:pPr>
    </w:p>
    <w:p w:rsidR="000E0EE9" w:rsidRDefault="000E0EE9">
      <w:r>
        <w:br w:type="page"/>
      </w:r>
      <w:r>
        <w:lastRenderedPageBreak/>
        <w:t>Referencias bibliográficas</w:t>
      </w:r>
    </w:p>
    <w:p w:rsidR="000E0EE9" w:rsidRPr="00001453" w:rsidRDefault="000E0EE9"/>
    <w:p w:rsidR="0093499C" w:rsidRPr="0093499C" w:rsidRDefault="000E0EE9" w:rsidP="0093499C">
      <w:pPr>
        <w:pStyle w:val="Bibliografa"/>
        <w:rPr>
          <w:lang w:val="en-US"/>
        </w:rPr>
      </w:pPr>
      <w:r>
        <w:rPr>
          <w:lang w:val="en-US"/>
        </w:rPr>
        <w:fldChar w:fldCharType="begin"/>
      </w:r>
      <w:r w:rsidR="0093499C" w:rsidRPr="00AE7FC7">
        <w:rPr>
          <w:lang w:val="en-US"/>
        </w:rPr>
        <w:instrText xml:space="preserve"> ADDIN ZOTERO_BIBL {"custom":[]} CSL_BIBLIOGRAPHY </w:instrText>
      </w:r>
      <w:r>
        <w:rPr>
          <w:lang w:val="en-US"/>
        </w:rPr>
        <w:fldChar w:fldCharType="separate"/>
      </w:r>
      <w:r w:rsidR="0093499C" w:rsidRPr="00AE7FC7">
        <w:rPr>
          <w:lang w:val="en-US"/>
        </w:rPr>
        <w:t xml:space="preserve">Ahern, J., </w:t>
      </w:r>
      <w:proofErr w:type="spellStart"/>
      <w:r w:rsidR="0093499C" w:rsidRPr="00AE7FC7">
        <w:rPr>
          <w:lang w:val="en-US"/>
        </w:rPr>
        <w:t>Marg</w:t>
      </w:r>
      <w:r w:rsidR="00AE7FC7" w:rsidRPr="00AE7FC7">
        <w:rPr>
          <w:lang w:val="en-US"/>
        </w:rPr>
        <w:t>erison-Zilko</w:t>
      </w:r>
      <w:proofErr w:type="spellEnd"/>
      <w:r w:rsidR="00AE7FC7" w:rsidRPr="00AE7FC7">
        <w:rPr>
          <w:lang w:val="en-US"/>
        </w:rPr>
        <w:t xml:space="preserve">, C., Hubbard, A. </w:t>
      </w:r>
      <w:r w:rsidR="00AE7FC7">
        <w:rPr>
          <w:lang w:val="en-US"/>
        </w:rPr>
        <w:t>y</w:t>
      </w:r>
      <w:r w:rsidR="0093499C" w:rsidRPr="00AE7FC7">
        <w:rPr>
          <w:lang w:val="en-US"/>
        </w:rPr>
        <w:t xml:space="preserve"> </w:t>
      </w:r>
      <w:proofErr w:type="spellStart"/>
      <w:r w:rsidR="0093499C" w:rsidRPr="00275044">
        <w:t>Galea</w:t>
      </w:r>
      <w:proofErr w:type="spellEnd"/>
      <w:r w:rsidR="0093499C" w:rsidRPr="00275044">
        <w:t xml:space="preserve">, S. (2013). </w:t>
      </w:r>
      <w:r w:rsidR="0093499C" w:rsidRPr="0093499C">
        <w:rPr>
          <w:lang w:val="en-US"/>
        </w:rPr>
        <w:t xml:space="preserve">Alcohol outlets and binge drinking in urban neighborhoods: the implications of nonlinearity for intervention and policy. </w:t>
      </w:r>
      <w:r w:rsidR="0093499C" w:rsidRPr="0093499C">
        <w:rPr>
          <w:i/>
          <w:iCs/>
          <w:lang w:val="en-US"/>
        </w:rPr>
        <w:t>Am</w:t>
      </w:r>
      <w:r w:rsidR="00FC1524">
        <w:rPr>
          <w:i/>
          <w:iCs/>
          <w:lang w:val="en-US"/>
        </w:rPr>
        <w:t>erican</w:t>
      </w:r>
      <w:r w:rsidR="0093499C" w:rsidRPr="0093499C">
        <w:rPr>
          <w:i/>
          <w:iCs/>
          <w:lang w:val="en-US"/>
        </w:rPr>
        <w:t xml:space="preserve"> J</w:t>
      </w:r>
      <w:r w:rsidR="00FC1524">
        <w:rPr>
          <w:i/>
          <w:iCs/>
          <w:lang w:val="en-US"/>
        </w:rPr>
        <w:t>ournal of</w:t>
      </w:r>
      <w:r w:rsidR="0093499C" w:rsidRPr="0093499C">
        <w:rPr>
          <w:i/>
          <w:iCs/>
          <w:lang w:val="en-US"/>
        </w:rPr>
        <w:t xml:space="preserve"> Public Health</w:t>
      </w:r>
      <w:r w:rsidR="0093499C" w:rsidRPr="0093499C">
        <w:rPr>
          <w:lang w:val="en-US"/>
        </w:rPr>
        <w:t xml:space="preserve">, </w:t>
      </w:r>
      <w:r w:rsidR="0093499C" w:rsidRPr="0093499C">
        <w:rPr>
          <w:i/>
          <w:iCs/>
          <w:lang w:val="en-US"/>
        </w:rPr>
        <w:t>103</w:t>
      </w:r>
      <w:r w:rsidR="0093499C" w:rsidRPr="0093499C">
        <w:rPr>
          <w:lang w:val="en-US"/>
        </w:rPr>
        <w:t xml:space="preserve">, e81-87. </w:t>
      </w:r>
      <w:r w:rsidR="00591823">
        <w:rPr>
          <w:lang w:val="en-US"/>
        </w:rPr>
        <w:t>doi:</w:t>
      </w:r>
      <w:r w:rsidR="0093499C" w:rsidRPr="0093499C">
        <w:rPr>
          <w:lang w:val="en-US"/>
        </w:rPr>
        <w:t>10.2105/AJPH.2012.301203</w:t>
      </w:r>
    </w:p>
    <w:p w:rsidR="0093499C" w:rsidRPr="0093499C" w:rsidRDefault="0093499C" w:rsidP="0093499C">
      <w:pPr>
        <w:pStyle w:val="Bibliografa"/>
        <w:rPr>
          <w:lang w:val="en-US"/>
        </w:rPr>
      </w:pPr>
      <w:r w:rsidRPr="0093499C">
        <w:rPr>
          <w:lang w:val="en-US"/>
        </w:rPr>
        <w:t>Anderson, P., de Brui</w:t>
      </w:r>
      <w:r w:rsidR="00AE7FC7">
        <w:rPr>
          <w:lang w:val="en-US"/>
        </w:rPr>
        <w:t>jn, A., Angus, K., Gordon, R. y</w:t>
      </w:r>
      <w:r w:rsidRPr="0093499C">
        <w:rPr>
          <w:lang w:val="en-US"/>
        </w:rPr>
        <w:t xml:space="preserve"> Hastings, G. (2009). Impact of alcohol advertising and media exposure on adolescent alcohol use: a systematic review of longitudinal studies. </w:t>
      </w:r>
      <w:r w:rsidRPr="0093499C">
        <w:rPr>
          <w:i/>
          <w:iCs/>
          <w:lang w:val="en-US"/>
        </w:rPr>
        <w:t xml:space="preserve">Alcohol </w:t>
      </w:r>
      <w:r w:rsidR="00FC1524">
        <w:rPr>
          <w:i/>
          <w:iCs/>
          <w:lang w:val="en-US"/>
        </w:rPr>
        <w:t xml:space="preserve">and </w:t>
      </w:r>
      <w:r w:rsidRPr="0093499C">
        <w:rPr>
          <w:i/>
          <w:iCs/>
          <w:lang w:val="en-US"/>
        </w:rPr>
        <w:t>Alcohol</w:t>
      </w:r>
      <w:r w:rsidR="00FC1524">
        <w:rPr>
          <w:i/>
          <w:iCs/>
          <w:lang w:val="en-US"/>
        </w:rPr>
        <w:t>ism</w:t>
      </w:r>
      <w:r w:rsidRPr="0093499C">
        <w:rPr>
          <w:lang w:val="en-US"/>
        </w:rPr>
        <w:t xml:space="preserve">, </w:t>
      </w:r>
      <w:r w:rsidRPr="0093499C">
        <w:rPr>
          <w:i/>
          <w:iCs/>
          <w:lang w:val="en-US"/>
        </w:rPr>
        <w:t>44</w:t>
      </w:r>
      <w:r w:rsidRPr="0093499C">
        <w:rPr>
          <w:lang w:val="en-US"/>
        </w:rPr>
        <w:t>, 229-243</w:t>
      </w:r>
      <w:r w:rsidR="000D5F06">
        <w:rPr>
          <w:lang w:val="en-US"/>
        </w:rPr>
        <w:t xml:space="preserve">. </w:t>
      </w:r>
      <w:r w:rsidR="00591823">
        <w:rPr>
          <w:lang w:val="en-US"/>
        </w:rPr>
        <w:t>doi:</w:t>
      </w:r>
      <w:r w:rsidR="000D5F06" w:rsidRPr="000D5F06">
        <w:rPr>
          <w:lang w:val="en-US"/>
        </w:rPr>
        <w:t>10.1093/alcalc/agn115</w:t>
      </w:r>
      <w:r w:rsidRPr="0093499C">
        <w:rPr>
          <w:lang w:val="en-US"/>
        </w:rPr>
        <w:t>.</w:t>
      </w:r>
    </w:p>
    <w:p w:rsidR="0093499C" w:rsidRPr="0093499C" w:rsidRDefault="0093499C" w:rsidP="0093499C">
      <w:pPr>
        <w:pStyle w:val="Bibliografa"/>
        <w:rPr>
          <w:lang w:val="en-US"/>
        </w:rPr>
      </w:pPr>
      <w:r w:rsidRPr="0093499C">
        <w:rPr>
          <w:lang w:val="en-US"/>
        </w:rPr>
        <w:t xml:space="preserve">Babor, T. F. (2010). Public health science and the global strategy on alcohol. </w:t>
      </w:r>
      <w:r w:rsidRPr="0093499C">
        <w:rPr>
          <w:i/>
          <w:iCs/>
          <w:lang w:val="en-US"/>
        </w:rPr>
        <w:t>Bull</w:t>
      </w:r>
      <w:r w:rsidR="00FC1524">
        <w:rPr>
          <w:i/>
          <w:iCs/>
          <w:lang w:val="en-US"/>
        </w:rPr>
        <w:t xml:space="preserve">etin of the </w:t>
      </w:r>
      <w:r w:rsidRPr="0093499C">
        <w:rPr>
          <w:i/>
          <w:iCs/>
          <w:lang w:val="en-US"/>
        </w:rPr>
        <w:t>World Health Organ</w:t>
      </w:r>
      <w:r w:rsidR="00FC1524">
        <w:rPr>
          <w:i/>
          <w:iCs/>
          <w:lang w:val="en-US"/>
        </w:rPr>
        <w:t>ization</w:t>
      </w:r>
      <w:r w:rsidRPr="0093499C">
        <w:rPr>
          <w:lang w:val="en-US"/>
        </w:rPr>
        <w:t xml:space="preserve">, </w:t>
      </w:r>
      <w:r w:rsidRPr="0093499C">
        <w:rPr>
          <w:i/>
          <w:iCs/>
          <w:lang w:val="en-US"/>
        </w:rPr>
        <w:t>88</w:t>
      </w:r>
      <w:r w:rsidRPr="0093499C">
        <w:rPr>
          <w:lang w:val="en-US"/>
        </w:rPr>
        <w:t xml:space="preserve">, 643. </w:t>
      </w:r>
      <w:r w:rsidR="00591823">
        <w:rPr>
          <w:lang w:val="en-US"/>
        </w:rPr>
        <w:t>doi:</w:t>
      </w:r>
      <w:r w:rsidRPr="0093499C">
        <w:rPr>
          <w:lang w:val="en-US"/>
        </w:rPr>
        <w:t>10.2471/BLT.10.081729</w:t>
      </w:r>
    </w:p>
    <w:p w:rsidR="0093499C" w:rsidRPr="0093499C" w:rsidRDefault="0093499C" w:rsidP="0093499C">
      <w:pPr>
        <w:pStyle w:val="Bibliografa"/>
        <w:rPr>
          <w:lang w:val="en-US"/>
        </w:rPr>
      </w:pPr>
      <w:r w:rsidRPr="0093499C">
        <w:rPr>
          <w:lang w:val="en-US"/>
        </w:rPr>
        <w:t xml:space="preserve">Bosque-Prous, M., Espelt, A., Guitart, A. M., Bartroli, M., Villalbí, J. R. </w:t>
      </w:r>
      <w:r w:rsidR="00AE7FC7">
        <w:rPr>
          <w:lang w:val="en-US"/>
        </w:rPr>
        <w:t>y</w:t>
      </w:r>
      <w:r w:rsidRPr="0093499C">
        <w:rPr>
          <w:lang w:val="en-US"/>
        </w:rPr>
        <w:t xml:space="preserve"> </w:t>
      </w:r>
      <w:proofErr w:type="spellStart"/>
      <w:r w:rsidRPr="0093499C">
        <w:rPr>
          <w:lang w:val="en-US"/>
        </w:rPr>
        <w:t>Brugal</w:t>
      </w:r>
      <w:proofErr w:type="spellEnd"/>
      <w:r w:rsidRPr="0093499C">
        <w:rPr>
          <w:lang w:val="en-US"/>
        </w:rPr>
        <w:t xml:space="preserve">, M. T. (2014). Association between stricter alcohol advertising regulations and lower hazardous drinking across European countries. </w:t>
      </w:r>
      <w:r w:rsidRPr="0093499C">
        <w:rPr>
          <w:i/>
          <w:iCs/>
          <w:lang w:val="en-US"/>
        </w:rPr>
        <w:t>Addiction</w:t>
      </w:r>
      <w:r w:rsidRPr="0093499C">
        <w:rPr>
          <w:lang w:val="en-US"/>
        </w:rPr>
        <w:t xml:space="preserve">, </w:t>
      </w:r>
      <w:r w:rsidRPr="0093499C">
        <w:rPr>
          <w:i/>
          <w:iCs/>
          <w:lang w:val="en-US"/>
        </w:rPr>
        <w:t>109</w:t>
      </w:r>
      <w:r w:rsidRPr="0093499C">
        <w:rPr>
          <w:lang w:val="en-US"/>
        </w:rPr>
        <w:t xml:space="preserve">, 1634-1643. </w:t>
      </w:r>
      <w:r w:rsidR="00591823">
        <w:rPr>
          <w:lang w:val="en-US"/>
        </w:rPr>
        <w:t>doi:</w:t>
      </w:r>
      <w:r w:rsidRPr="0093499C">
        <w:rPr>
          <w:lang w:val="en-US"/>
        </w:rPr>
        <w:t>10.1111/add.12562</w:t>
      </w:r>
    </w:p>
    <w:p w:rsidR="0093499C" w:rsidRPr="0093499C" w:rsidRDefault="0093499C" w:rsidP="0093499C">
      <w:pPr>
        <w:pStyle w:val="Bibliografa"/>
        <w:rPr>
          <w:lang w:val="en-US"/>
        </w:rPr>
      </w:pPr>
      <w:r w:rsidRPr="0093499C">
        <w:rPr>
          <w:lang w:val="en-US"/>
        </w:rPr>
        <w:t>Bryde</w:t>
      </w:r>
      <w:r w:rsidR="00AE7FC7">
        <w:rPr>
          <w:lang w:val="en-US"/>
        </w:rPr>
        <w:t>n, A., Roberts, B., McKee, M. y</w:t>
      </w:r>
      <w:r w:rsidRPr="0093499C">
        <w:rPr>
          <w:lang w:val="en-US"/>
        </w:rPr>
        <w:t xml:space="preserve"> Petticrew, M. (2012). A systematic review of the influence on alcohol use of community level availability and marketing of alcohol. </w:t>
      </w:r>
      <w:r w:rsidRPr="0093499C">
        <w:rPr>
          <w:i/>
          <w:iCs/>
          <w:lang w:val="en-US"/>
        </w:rPr>
        <w:t xml:space="preserve">Health </w:t>
      </w:r>
      <w:r w:rsidR="00FC1524">
        <w:rPr>
          <w:i/>
          <w:iCs/>
          <w:lang w:val="en-US"/>
        </w:rPr>
        <w:t xml:space="preserve">and </w:t>
      </w:r>
      <w:r w:rsidRPr="0093499C">
        <w:rPr>
          <w:i/>
          <w:iCs/>
          <w:lang w:val="en-US"/>
        </w:rPr>
        <w:t>Place</w:t>
      </w:r>
      <w:r w:rsidRPr="0093499C">
        <w:rPr>
          <w:lang w:val="en-US"/>
        </w:rPr>
        <w:t xml:space="preserve">, </w:t>
      </w:r>
      <w:r w:rsidRPr="0093499C">
        <w:rPr>
          <w:i/>
          <w:iCs/>
          <w:lang w:val="en-US"/>
        </w:rPr>
        <w:t>18</w:t>
      </w:r>
      <w:r w:rsidRPr="0093499C">
        <w:rPr>
          <w:lang w:val="en-US"/>
        </w:rPr>
        <w:t xml:space="preserve">, 349-357. </w:t>
      </w:r>
      <w:r w:rsidR="00591823">
        <w:rPr>
          <w:lang w:val="en-US"/>
        </w:rPr>
        <w:t>doi:</w:t>
      </w:r>
      <w:r w:rsidRPr="0093499C">
        <w:rPr>
          <w:lang w:val="en-US"/>
        </w:rPr>
        <w:t>10.1016/j.healthplace.2011.11.003</w:t>
      </w:r>
    </w:p>
    <w:p w:rsidR="0093499C" w:rsidRPr="0093499C" w:rsidRDefault="0093499C" w:rsidP="0093499C">
      <w:pPr>
        <w:pStyle w:val="Bibliografa"/>
        <w:rPr>
          <w:lang w:val="en-US"/>
        </w:rPr>
      </w:pPr>
      <w:r w:rsidRPr="0093499C">
        <w:rPr>
          <w:lang w:val="en-US"/>
        </w:rPr>
        <w:t xml:space="preserve">Campbell, C. A., Hahn, R. A., Elder, R., Brewer, R., Chattopadhyay, S., Fielding, J., … Middleton, J. C. (2009). The effectiveness of limiting alcohol outlet density as a means of reducing excessive alcohol consumption and alcohol-related harms. </w:t>
      </w:r>
      <w:r w:rsidRPr="0093499C">
        <w:rPr>
          <w:i/>
          <w:iCs/>
          <w:lang w:val="en-US"/>
        </w:rPr>
        <w:t>Am</w:t>
      </w:r>
      <w:r w:rsidR="00FC1524">
        <w:rPr>
          <w:i/>
          <w:iCs/>
          <w:lang w:val="en-US"/>
        </w:rPr>
        <w:t>erican</w:t>
      </w:r>
      <w:r w:rsidRPr="0093499C">
        <w:rPr>
          <w:i/>
          <w:iCs/>
          <w:lang w:val="en-US"/>
        </w:rPr>
        <w:t xml:space="preserve"> J</w:t>
      </w:r>
      <w:r w:rsidR="00FC1524">
        <w:rPr>
          <w:i/>
          <w:iCs/>
          <w:lang w:val="en-US"/>
        </w:rPr>
        <w:t>ournal of</w:t>
      </w:r>
      <w:r w:rsidRPr="0093499C">
        <w:rPr>
          <w:i/>
          <w:iCs/>
          <w:lang w:val="en-US"/>
        </w:rPr>
        <w:t xml:space="preserve"> Prev</w:t>
      </w:r>
      <w:r w:rsidR="00FC1524">
        <w:rPr>
          <w:i/>
          <w:iCs/>
          <w:lang w:val="en-US"/>
        </w:rPr>
        <w:t>entive</w:t>
      </w:r>
      <w:r w:rsidRPr="0093499C">
        <w:rPr>
          <w:i/>
          <w:iCs/>
          <w:lang w:val="en-US"/>
        </w:rPr>
        <w:t xml:space="preserve"> Med</w:t>
      </w:r>
      <w:r w:rsidR="00FC1524">
        <w:rPr>
          <w:i/>
          <w:iCs/>
          <w:lang w:val="en-US"/>
        </w:rPr>
        <w:t>icine</w:t>
      </w:r>
      <w:r w:rsidRPr="0093499C">
        <w:rPr>
          <w:lang w:val="en-US"/>
        </w:rPr>
        <w:t xml:space="preserve">, </w:t>
      </w:r>
      <w:r w:rsidRPr="0093499C">
        <w:rPr>
          <w:i/>
          <w:iCs/>
          <w:lang w:val="en-US"/>
        </w:rPr>
        <w:t>37</w:t>
      </w:r>
      <w:r w:rsidRPr="0093499C">
        <w:rPr>
          <w:lang w:val="en-US"/>
        </w:rPr>
        <w:t xml:space="preserve">, 556-569. </w:t>
      </w:r>
      <w:r w:rsidR="00591823">
        <w:rPr>
          <w:lang w:val="en-US"/>
        </w:rPr>
        <w:t>doi:</w:t>
      </w:r>
      <w:r w:rsidRPr="0093499C">
        <w:rPr>
          <w:lang w:val="en-US"/>
        </w:rPr>
        <w:t>10.1016/j.amepre.2009.09.028</w:t>
      </w:r>
    </w:p>
    <w:p w:rsidR="0093499C" w:rsidRPr="0093499C" w:rsidRDefault="0093499C" w:rsidP="0093499C">
      <w:pPr>
        <w:pStyle w:val="Bibliografa"/>
      </w:pPr>
      <w:r w:rsidRPr="0093499C">
        <w:rPr>
          <w:lang w:val="en-US"/>
        </w:rPr>
        <w:lastRenderedPageBreak/>
        <w:t xml:space="preserve">Castan, P. (2014). </w:t>
      </w:r>
      <w:r w:rsidRPr="0093499C">
        <w:t xml:space="preserve">El 40% de terrazas de BCN incumplen la normativa. </w:t>
      </w:r>
      <w:r w:rsidRPr="0093499C">
        <w:rPr>
          <w:i/>
          <w:iCs/>
        </w:rPr>
        <w:t>El Periodico</w:t>
      </w:r>
      <w:r w:rsidRPr="0093499C">
        <w:t>. Recupera</w:t>
      </w:r>
      <w:r w:rsidR="00C61C5B">
        <w:t>do</w:t>
      </w:r>
      <w:r w:rsidRPr="0093499C">
        <w:t xml:space="preserve"> de http://www.elperiodico.com/es/noticias/barcelona/terrazas-bcn-incumplen-normativa-3280310</w:t>
      </w:r>
    </w:p>
    <w:p w:rsidR="0093499C" w:rsidRPr="0093499C" w:rsidRDefault="0093499C" w:rsidP="0093499C">
      <w:pPr>
        <w:pStyle w:val="Bibliografa"/>
        <w:rPr>
          <w:lang w:val="en-US"/>
        </w:rPr>
      </w:pPr>
      <w:r w:rsidRPr="0093499C">
        <w:t xml:space="preserve">de Bruijn, A., Tanghe, J., de Leeuw, R., Engels, R., Anderson, P., Beccaria, F., … van Dalen, W. (2016). </w:t>
      </w:r>
      <w:r w:rsidRPr="0093499C">
        <w:rPr>
          <w:lang w:val="en-US"/>
        </w:rPr>
        <w:t xml:space="preserve">European longitudinal study on the relationship between adolescents’ alcohol marketing exposure and alcohol use: Impact of alcohol marketing on drinking in EU. </w:t>
      </w:r>
      <w:r w:rsidRPr="0093499C">
        <w:rPr>
          <w:i/>
          <w:iCs/>
          <w:lang w:val="en-US"/>
        </w:rPr>
        <w:t>Addiction</w:t>
      </w:r>
      <w:r w:rsidRPr="0093499C">
        <w:rPr>
          <w:lang w:val="en-US"/>
        </w:rPr>
        <w:t xml:space="preserve">, </w:t>
      </w:r>
      <w:r w:rsidRPr="0093499C">
        <w:rPr>
          <w:i/>
          <w:iCs/>
          <w:lang w:val="en-US"/>
        </w:rPr>
        <w:t>111</w:t>
      </w:r>
      <w:r w:rsidRPr="0093499C">
        <w:rPr>
          <w:lang w:val="en-US"/>
        </w:rPr>
        <w:t>, 1774-</w:t>
      </w:r>
      <w:r w:rsidR="009408DD">
        <w:rPr>
          <w:lang w:val="en-US"/>
        </w:rPr>
        <w:t>17</w:t>
      </w:r>
      <w:r w:rsidRPr="0093499C">
        <w:rPr>
          <w:lang w:val="en-US"/>
        </w:rPr>
        <w:t xml:space="preserve">83. </w:t>
      </w:r>
      <w:r w:rsidR="00591823">
        <w:rPr>
          <w:lang w:val="en-US"/>
        </w:rPr>
        <w:t>doi:</w:t>
      </w:r>
      <w:r w:rsidRPr="0093499C">
        <w:rPr>
          <w:lang w:val="en-US"/>
        </w:rPr>
        <w:t>10.1111/add.13455</w:t>
      </w:r>
    </w:p>
    <w:p w:rsidR="0093499C" w:rsidRPr="0093499C" w:rsidRDefault="0093499C" w:rsidP="0093499C">
      <w:pPr>
        <w:pStyle w:val="Bibliografa"/>
        <w:rPr>
          <w:lang w:val="en-US"/>
        </w:rPr>
      </w:pPr>
      <w:r w:rsidRPr="0093499C">
        <w:rPr>
          <w:lang w:val="en-US"/>
        </w:rPr>
        <w:t xml:space="preserve">de Goeij, M. C. M., Jacobs, M. A. M., van Nierop, P., van der Veeken-Vlassak, I. A. G., van de Mheen, D., Schoenmakers, T. M., … Kunst, A. E. (2016). Impact of Cross-Sectoral Alcohol Policy on Youth Alcohol Consumption. </w:t>
      </w:r>
      <w:r w:rsidRPr="0093499C">
        <w:rPr>
          <w:i/>
          <w:iCs/>
          <w:lang w:val="en-US"/>
        </w:rPr>
        <w:t>J</w:t>
      </w:r>
      <w:r w:rsidR="000733DD">
        <w:rPr>
          <w:i/>
          <w:iCs/>
          <w:lang w:val="en-US"/>
        </w:rPr>
        <w:t>ournal of</w:t>
      </w:r>
      <w:r w:rsidRPr="0093499C">
        <w:rPr>
          <w:i/>
          <w:iCs/>
          <w:lang w:val="en-US"/>
        </w:rPr>
        <w:t xml:space="preserve"> Stud</w:t>
      </w:r>
      <w:r w:rsidR="000733DD">
        <w:rPr>
          <w:i/>
          <w:iCs/>
          <w:lang w:val="en-US"/>
        </w:rPr>
        <w:t>ies on</w:t>
      </w:r>
      <w:r w:rsidRPr="0093499C">
        <w:rPr>
          <w:i/>
          <w:iCs/>
          <w:lang w:val="en-US"/>
        </w:rPr>
        <w:t xml:space="preserve"> Alcohol </w:t>
      </w:r>
      <w:r w:rsidR="000733DD">
        <w:rPr>
          <w:i/>
          <w:iCs/>
          <w:lang w:val="en-US"/>
        </w:rPr>
        <w:t xml:space="preserve">and </w:t>
      </w:r>
      <w:r w:rsidRPr="0093499C">
        <w:rPr>
          <w:i/>
          <w:iCs/>
          <w:lang w:val="en-US"/>
        </w:rPr>
        <w:t>Drugs</w:t>
      </w:r>
      <w:r w:rsidRPr="0093499C">
        <w:rPr>
          <w:lang w:val="en-US"/>
        </w:rPr>
        <w:t xml:space="preserve">, </w:t>
      </w:r>
      <w:r w:rsidRPr="0093499C">
        <w:rPr>
          <w:i/>
          <w:iCs/>
          <w:lang w:val="en-US"/>
        </w:rPr>
        <w:t>77</w:t>
      </w:r>
      <w:r w:rsidRPr="0093499C">
        <w:rPr>
          <w:lang w:val="en-US"/>
        </w:rPr>
        <w:t>(4), 596-605.</w:t>
      </w:r>
      <w:r w:rsidR="000D5F06">
        <w:rPr>
          <w:lang w:val="en-US"/>
        </w:rPr>
        <w:t xml:space="preserve"> </w:t>
      </w:r>
      <w:r w:rsidR="00591823">
        <w:rPr>
          <w:lang w:val="en-US"/>
        </w:rPr>
        <w:t>doi:</w:t>
      </w:r>
      <w:r w:rsidR="000D5F06" w:rsidRPr="000D5F06">
        <w:rPr>
          <w:lang w:val="en-US"/>
        </w:rPr>
        <w:t>10.15288/jsad.2016.77.596</w:t>
      </w:r>
      <w:r w:rsidR="000D5F06">
        <w:rPr>
          <w:lang w:val="en-US"/>
        </w:rPr>
        <w:t>.</w:t>
      </w:r>
    </w:p>
    <w:p w:rsidR="0093499C" w:rsidRPr="0093499C" w:rsidRDefault="0093499C" w:rsidP="0093499C">
      <w:pPr>
        <w:pStyle w:val="Bibliografa"/>
        <w:rPr>
          <w:lang w:val="en-US"/>
        </w:rPr>
      </w:pPr>
      <w:r w:rsidRPr="0093499C">
        <w:rPr>
          <w:lang w:val="en-US"/>
        </w:rPr>
        <w:t xml:space="preserve">Ellickson, P. L., Collins, R. L., </w:t>
      </w:r>
      <w:proofErr w:type="spellStart"/>
      <w:r w:rsidRPr="0093499C">
        <w:rPr>
          <w:lang w:val="en-US"/>
        </w:rPr>
        <w:t>Hambars</w:t>
      </w:r>
      <w:r w:rsidR="00AE7FC7">
        <w:rPr>
          <w:lang w:val="en-US"/>
        </w:rPr>
        <w:t>oomians</w:t>
      </w:r>
      <w:proofErr w:type="spellEnd"/>
      <w:r w:rsidR="00AE7FC7">
        <w:rPr>
          <w:lang w:val="en-US"/>
        </w:rPr>
        <w:t>, K. y</w:t>
      </w:r>
      <w:r w:rsidRPr="0093499C">
        <w:rPr>
          <w:lang w:val="en-US"/>
        </w:rPr>
        <w:t xml:space="preserve"> McCaffrey, D. F. (2005). Does alcohol advertising promote adolescent drinking? Results from a longitudinal assessment. </w:t>
      </w:r>
      <w:r w:rsidRPr="0093499C">
        <w:rPr>
          <w:i/>
          <w:iCs/>
          <w:lang w:val="en-US"/>
        </w:rPr>
        <w:t>Addiction</w:t>
      </w:r>
      <w:r w:rsidRPr="0093499C">
        <w:rPr>
          <w:lang w:val="en-US"/>
        </w:rPr>
        <w:t xml:space="preserve">, </w:t>
      </w:r>
      <w:r w:rsidRPr="0093499C">
        <w:rPr>
          <w:i/>
          <w:iCs/>
          <w:lang w:val="en-US"/>
        </w:rPr>
        <w:t>100</w:t>
      </w:r>
      <w:r w:rsidRPr="0093499C">
        <w:rPr>
          <w:lang w:val="en-US"/>
        </w:rPr>
        <w:t>, 235–246.</w:t>
      </w:r>
      <w:r w:rsidR="000D5F06">
        <w:rPr>
          <w:lang w:val="en-US"/>
        </w:rPr>
        <w:t xml:space="preserve"> </w:t>
      </w:r>
      <w:proofErr w:type="spellStart"/>
      <w:r w:rsidR="00591823" w:rsidRPr="00291E6C">
        <w:rPr>
          <w:lang w:val="en-US"/>
        </w:rPr>
        <w:t>doi</w:t>
      </w:r>
      <w:proofErr w:type="spellEnd"/>
      <w:r w:rsidR="00591823" w:rsidRPr="00291E6C">
        <w:rPr>
          <w:lang w:val="en-US"/>
        </w:rPr>
        <w:t>:</w:t>
      </w:r>
      <w:r w:rsidR="000D5F06">
        <w:rPr>
          <w:rStyle w:val="article-headermeta-info-data"/>
          <w:lang w:val="en"/>
        </w:rPr>
        <w:t>10.1111/j.1360-0443.2005.00974.x</w:t>
      </w:r>
    </w:p>
    <w:p w:rsidR="0093499C" w:rsidRPr="0093499C" w:rsidRDefault="0093499C" w:rsidP="0093499C">
      <w:pPr>
        <w:pStyle w:val="Bibliografa"/>
        <w:rPr>
          <w:lang w:val="en-US"/>
        </w:rPr>
      </w:pPr>
      <w:r w:rsidRPr="0093499C">
        <w:rPr>
          <w:lang w:val="en-US"/>
        </w:rPr>
        <w:t xml:space="preserve">Ford, G. T. (1993). Regulation of Advertising in the European Community: an Overview. </w:t>
      </w:r>
      <w:r w:rsidRPr="0093499C">
        <w:rPr>
          <w:i/>
          <w:iCs/>
          <w:lang w:val="en-US"/>
        </w:rPr>
        <w:t>European Advances in Consumer Research</w:t>
      </w:r>
      <w:r w:rsidRPr="0093499C">
        <w:rPr>
          <w:lang w:val="en-US"/>
        </w:rPr>
        <w:t xml:space="preserve">, </w:t>
      </w:r>
      <w:r w:rsidRPr="0093499C">
        <w:rPr>
          <w:i/>
          <w:iCs/>
          <w:lang w:val="en-US"/>
        </w:rPr>
        <w:t>1</w:t>
      </w:r>
      <w:r w:rsidRPr="0093499C">
        <w:rPr>
          <w:lang w:val="en-US"/>
        </w:rPr>
        <w:t>, 559-564</w:t>
      </w:r>
      <w:r w:rsidR="000D5F06">
        <w:rPr>
          <w:lang w:val="en-US"/>
        </w:rPr>
        <w:t xml:space="preserve">. Recuperado de </w:t>
      </w:r>
      <w:r w:rsidR="000D5F06" w:rsidRPr="000D5F06">
        <w:rPr>
          <w:lang w:val="en-US"/>
        </w:rPr>
        <w:t>http://acrwebsite.org/volumes/11635/volumes/e01/E-01</w:t>
      </w:r>
      <w:r w:rsidRPr="0093499C">
        <w:rPr>
          <w:lang w:val="en-US"/>
        </w:rPr>
        <w:t>.</w:t>
      </w:r>
    </w:p>
    <w:p w:rsidR="0093499C" w:rsidRPr="0093499C" w:rsidRDefault="0093499C" w:rsidP="0093499C">
      <w:pPr>
        <w:pStyle w:val="Bibliografa"/>
      </w:pPr>
      <w:r w:rsidRPr="0093499C">
        <w:rPr>
          <w:lang w:val="en-US"/>
        </w:rPr>
        <w:t>Hurtz, S. Q., Henriksen</w:t>
      </w:r>
      <w:r w:rsidR="00AE7FC7">
        <w:rPr>
          <w:lang w:val="en-US"/>
        </w:rPr>
        <w:t>, L., Wang, Y., Feighery, E. C.</w:t>
      </w:r>
      <w:r w:rsidRPr="0093499C">
        <w:rPr>
          <w:lang w:val="en-US"/>
        </w:rPr>
        <w:t xml:space="preserve"> </w:t>
      </w:r>
      <w:r w:rsidR="00AE7FC7">
        <w:rPr>
          <w:lang w:val="en-US"/>
        </w:rPr>
        <w:t>y</w:t>
      </w:r>
      <w:r w:rsidRPr="0093499C">
        <w:rPr>
          <w:lang w:val="en-US"/>
        </w:rPr>
        <w:t xml:space="preserve"> </w:t>
      </w:r>
      <w:proofErr w:type="spellStart"/>
      <w:r w:rsidRPr="0093499C">
        <w:rPr>
          <w:lang w:val="en-US"/>
        </w:rPr>
        <w:t>Fortmann</w:t>
      </w:r>
      <w:proofErr w:type="spellEnd"/>
      <w:r w:rsidRPr="0093499C">
        <w:rPr>
          <w:lang w:val="en-US"/>
        </w:rPr>
        <w:t xml:space="preserve">, S. P. (2007). The relationship between exposure to alcohol advertising in stores, owning alcohol promotional items, and adolescent alcohol use. </w:t>
      </w:r>
      <w:r w:rsidRPr="0093499C">
        <w:rPr>
          <w:i/>
          <w:iCs/>
        </w:rPr>
        <w:t xml:space="preserve">Alcohol </w:t>
      </w:r>
      <w:r w:rsidR="000733DD">
        <w:rPr>
          <w:i/>
          <w:iCs/>
        </w:rPr>
        <w:t xml:space="preserve">and </w:t>
      </w:r>
      <w:r w:rsidRPr="0093499C">
        <w:rPr>
          <w:i/>
          <w:iCs/>
        </w:rPr>
        <w:t>Alcohol</w:t>
      </w:r>
      <w:r w:rsidR="000733DD">
        <w:rPr>
          <w:i/>
          <w:iCs/>
        </w:rPr>
        <w:t>ism</w:t>
      </w:r>
      <w:r w:rsidRPr="0093499C">
        <w:t xml:space="preserve">, </w:t>
      </w:r>
      <w:r w:rsidRPr="0093499C">
        <w:rPr>
          <w:i/>
          <w:iCs/>
        </w:rPr>
        <w:t>42</w:t>
      </w:r>
      <w:r w:rsidRPr="0093499C">
        <w:t xml:space="preserve">, 143-149. </w:t>
      </w:r>
      <w:r w:rsidR="00591823">
        <w:t>doi:</w:t>
      </w:r>
      <w:r w:rsidRPr="0093499C">
        <w:t>10.1093/alcalc/agl119</w:t>
      </w:r>
    </w:p>
    <w:p w:rsidR="0093499C" w:rsidRPr="00291E6C" w:rsidRDefault="000733DD" w:rsidP="00F8566A">
      <w:pPr>
        <w:pStyle w:val="Bibliografa"/>
        <w:rPr>
          <w:lang w:val="en-US"/>
        </w:rPr>
      </w:pPr>
      <w:r>
        <w:lastRenderedPageBreak/>
        <w:t>Ló</w:t>
      </w:r>
      <w:r w:rsidR="0093499C" w:rsidRPr="0093499C">
        <w:t>pez-S</w:t>
      </w:r>
      <w:r>
        <w:t>ánchez, C., Garcí</w:t>
      </w:r>
      <w:r w:rsidR="0093499C" w:rsidRPr="0093499C">
        <w:t>a</w:t>
      </w:r>
      <w:r w:rsidR="00F8566A">
        <w:t xml:space="preserve"> del Castillo</w:t>
      </w:r>
      <w:r w:rsidR="0093499C" w:rsidRPr="0093499C">
        <w:t>, J.</w:t>
      </w:r>
      <w:r w:rsidR="00F8566A">
        <w:t>A.</w:t>
      </w:r>
      <w:r w:rsidR="00AE7FC7">
        <w:t xml:space="preserve"> y</w:t>
      </w:r>
      <w:r w:rsidR="0093499C" w:rsidRPr="0093499C">
        <w:t xml:space="preserve"> Gazquez-Pertusa, M. (2013). </w:t>
      </w:r>
      <w:r w:rsidR="0093499C" w:rsidRPr="0093499C">
        <w:rPr>
          <w:lang w:val="en-US"/>
        </w:rPr>
        <w:t xml:space="preserve">Advertising communication influence in alcohol consumption. </w:t>
      </w:r>
      <w:proofErr w:type="spellStart"/>
      <w:r w:rsidR="0093499C" w:rsidRPr="00291E6C">
        <w:rPr>
          <w:i/>
          <w:iCs/>
          <w:lang w:val="en-US"/>
        </w:rPr>
        <w:t>Historia</w:t>
      </w:r>
      <w:proofErr w:type="spellEnd"/>
      <w:r w:rsidR="0093499C" w:rsidRPr="00291E6C">
        <w:rPr>
          <w:i/>
          <w:iCs/>
          <w:lang w:val="en-US"/>
        </w:rPr>
        <w:t xml:space="preserve"> y </w:t>
      </w:r>
      <w:proofErr w:type="spellStart"/>
      <w:r w:rsidR="0093499C" w:rsidRPr="00291E6C">
        <w:rPr>
          <w:i/>
          <w:iCs/>
          <w:lang w:val="en-US"/>
        </w:rPr>
        <w:t>comunicación</w:t>
      </w:r>
      <w:proofErr w:type="spellEnd"/>
      <w:r w:rsidR="0093499C" w:rsidRPr="00291E6C">
        <w:rPr>
          <w:i/>
          <w:iCs/>
          <w:lang w:val="en-US"/>
        </w:rPr>
        <w:t xml:space="preserve"> social</w:t>
      </w:r>
      <w:r w:rsidR="0093499C" w:rsidRPr="00291E6C">
        <w:rPr>
          <w:lang w:val="en-US"/>
        </w:rPr>
        <w:t xml:space="preserve">, </w:t>
      </w:r>
      <w:r w:rsidR="0093499C" w:rsidRPr="00291E6C">
        <w:rPr>
          <w:i/>
          <w:iCs/>
          <w:lang w:val="en-US"/>
        </w:rPr>
        <w:t>18</w:t>
      </w:r>
      <w:r w:rsidR="0093499C" w:rsidRPr="00291E6C">
        <w:rPr>
          <w:lang w:val="en-US"/>
        </w:rPr>
        <w:t>, 639–655.</w:t>
      </w:r>
      <w:r w:rsidR="00F8566A" w:rsidRPr="00291E6C">
        <w:rPr>
          <w:lang w:val="en-US"/>
        </w:rPr>
        <w:t xml:space="preserve"> http://dx.doi.org/10.5209/rev_HICS.2013.v18.43995.</w:t>
      </w:r>
    </w:p>
    <w:p w:rsidR="0093499C" w:rsidRPr="00F8566A" w:rsidRDefault="0093499C" w:rsidP="0093499C">
      <w:pPr>
        <w:pStyle w:val="Bibliografa"/>
        <w:rPr>
          <w:lang w:val="en-US"/>
        </w:rPr>
      </w:pPr>
      <w:proofErr w:type="spellStart"/>
      <w:r w:rsidRPr="0093499C">
        <w:rPr>
          <w:lang w:val="en-US"/>
        </w:rPr>
        <w:t>Luty</w:t>
      </w:r>
      <w:proofErr w:type="spellEnd"/>
      <w:r w:rsidRPr="0093499C">
        <w:rPr>
          <w:lang w:val="en-US"/>
        </w:rPr>
        <w:t xml:space="preserve">, J. (2016). Alcohol policy and public health. </w:t>
      </w:r>
      <w:r w:rsidRPr="0093499C">
        <w:rPr>
          <w:i/>
          <w:iCs/>
          <w:lang w:val="en-US"/>
        </w:rPr>
        <w:t>B</w:t>
      </w:r>
      <w:r w:rsidR="000733DD">
        <w:rPr>
          <w:i/>
          <w:iCs/>
          <w:lang w:val="en-US"/>
        </w:rPr>
        <w:t>ritish</w:t>
      </w:r>
      <w:r w:rsidR="00F8566A">
        <w:rPr>
          <w:i/>
          <w:iCs/>
          <w:lang w:val="en-US"/>
        </w:rPr>
        <w:t xml:space="preserve"> </w:t>
      </w:r>
      <w:r w:rsidRPr="0093499C">
        <w:rPr>
          <w:i/>
          <w:iCs/>
          <w:lang w:val="en-US"/>
        </w:rPr>
        <w:t>J</w:t>
      </w:r>
      <w:r w:rsidR="000733DD">
        <w:rPr>
          <w:i/>
          <w:iCs/>
          <w:lang w:val="en-US"/>
        </w:rPr>
        <w:t>ournal</w:t>
      </w:r>
      <w:r w:rsidR="00F8566A">
        <w:rPr>
          <w:i/>
          <w:iCs/>
          <w:lang w:val="en-US"/>
        </w:rPr>
        <w:t xml:space="preserve"> </w:t>
      </w:r>
      <w:r w:rsidR="00FC1524">
        <w:rPr>
          <w:i/>
          <w:iCs/>
          <w:lang w:val="en-US"/>
        </w:rPr>
        <w:t xml:space="preserve">of </w:t>
      </w:r>
      <w:r w:rsidRPr="0093499C">
        <w:rPr>
          <w:i/>
          <w:iCs/>
          <w:lang w:val="en-US"/>
        </w:rPr>
        <w:t>Psych</w:t>
      </w:r>
      <w:r w:rsidR="000733DD">
        <w:rPr>
          <w:i/>
          <w:iCs/>
          <w:lang w:val="en-US"/>
        </w:rPr>
        <w:t>iatry</w:t>
      </w:r>
      <w:r w:rsidRPr="0093499C">
        <w:rPr>
          <w:i/>
          <w:iCs/>
          <w:lang w:val="en-US"/>
        </w:rPr>
        <w:t xml:space="preserve"> Advances</w:t>
      </w:r>
      <w:r w:rsidRPr="0093499C">
        <w:rPr>
          <w:lang w:val="en-US"/>
        </w:rPr>
        <w:t xml:space="preserve">, </w:t>
      </w:r>
      <w:r w:rsidRPr="0093499C">
        <w:rPr>
          <w:i/>
          <w:iCs/>
          <w:lang w:val="en-US"/>
        </w:rPr>
        <w:t>22</w:t>
      </w:r>
      <w:r w:rsidRPr="0093499C">
        <w:rPr>
          <w:lang w:val="en-US"/>
        </w:rPr>
        <w:t>, 40</w:t>
      </w:r>
      <w:r w:rsidRPr="00F8566A">
        <w:rPr>
          <w:lang w:val="en-US"/>
        </w:rPr>
        <w:t>2–411.</w:t>
      </w:r>
      <w:r w:rsidR="00F8566A" w:rsidRPr="00F8566A">
        <w:rPr>
          <w:lang w:val="en-US"/>
        </w:rPr>
        <w:t xml:space="preserve"> </w:t>
      </w:r>
      <w:r w:rsidR="00591823">
        <w:rPr>
          <w:lang w:val="en-US"/>
        </w:rPr>
        <w:t>doi:</w:t>
      </w:r>
      <w:r w:rsidR="00F8566A" w:rsidRPr="00F8566A">
        <w:rPr>
          <w:rStyle w:val="highwire-cite-metadata-doi"/>
          <w:lang w:val="en"/>
        </w:rPr>
        <w:t xml:space="preserve">10.1192/apt.bp.115.015081. </w:t>
      </w:r>
    </w:p>
    <w:p w:rsidR="0093499C" w:rsidRPr="0093499C" w:rsidRDefault="00AE7FC7" w:rsidP="0093499C">
      <w:pPr>
        <w:pStyle w:val="Bibliografa"/>
      </w:pPr>
      <w:r>
        <w:t xml:space="preserve">Martín, E., </w:t>
      </w:r>
      <w:proofErr w:type="spellStart"/>
      <w:r>
        <w:t>Simó</w:t>
      </w:r>
      <w:proofErr w:type="spellEnd"/>
      <w:r>
        <w:t>, L. y</w:t>
      </w:r>
      <w:r w:rsidR="0093499C" w:rsidRPr="0093499C">
        <w:t xml:space="preserve"> García, V. (2009). Acción 6. Proyecto de análisis y mejora de la normativa sobre alcohol y menores y su implementación en el territorio nacional. En </w:t>
      </w:r>
      <w:r w:rsidR="0093499C" w:rsidRPr="0093499C">
        <w:rPr>
          <w:i/>
          <w:iCs/>
        </w:rPr>
        <w:t>Estrategia Nacional sobre drogas 2009-2016. Plan de Acción Sobre drogas 2013-2016</w:t>
      </w:r>
      <w:r w:rsidR="0093499C" w:rsidRPr="0093499C">
        <w:t>. Madrid: Delegación del Gobierno para el Plan Nacional sobre Drogas</w:t>
      </w:r>
      <w:r w:rsidR="000733DD">
        <w:t xml:space="preserve">. Recuperado de </w:t>
      </w:r>
      <w:r w:rsidR="000733DD" w:rsidRPr="000733DD">
        <w:t>http://www.pnsd.msssi.gob.es/ca/pnsd/planAccion/plan/productos/pdf/Accion_6___Estudio_comparativo_Normativa_Alcohol151030_.pdf</w:t>
      </w:r>
      <w:r w:rsidR="0093499C" w:rsidRPr="0093499C">
        <w:t>.</w:t>
      </w:r>
    </w:p>
    <w:p w:rsidR="0093499C" w:rsidRPr="0093499C" w:rsidRDefault="0093499C" w:rsidP="0093499C">
      <w:pPr>
        <w:pStyle w:val="Bibliografa"/>
      </w:pPr>
      <w:r w:rsidRPr="0093499C">
        <w:t>Ordenanza de medidas para fomentar y garantizar la convivencia ciudadana en el espacio públic</w:t>
      </w:r>
      <w:r w:rsidR="00C61C5B">
        <w:t>o de Barcelona (2005). Recuperado</w:t>
      </w:r>
      <w:r w:rsidRPr="0093499C">
        <w:t xml:space="preserve"> de http://w110.bcn.cat/fitxers/ajuntament/consolidadescast/convivencia.830.pdf</w:t>
      </w:r>
    </w:p>
    <w:p w:rsidR="0093499C" w:rsidRPr="00F06DCB" w:rsidRDefault="0093499C" w:rsidP="0093499C">
      <w:pPr>
        <w:pStyle w:val="Bibliografa"/>
      </w:pPr>
      <w:r w:rsidRPr="0093499C">
        <w:rPr>
          <w:lang w:val="en-US"/>
        </w:rPr>
        <w:t>Orro, E., Marten</w:t>
      </w:r>
      <w:r w:rsidR="00AE7FC7">
        <w:rPr>
          <w:lang w:val="en-US"/>
        </w:rPr>
        <w:t xml:space="preserve">s, K., Lepane, L., </w:t>
      </w:r>
      <w:proofErr w:type="spellStart"/>
      <w:r w:rsidR="00AE7FC7">
        <w:rPr>
          <w:lang w:val="en-US"/>
        </w:rPr>
        <w:t>Josing</w:t>
      </w:r>
      <w:proofErr w:type="spellEnd"/>
      <w:r w:rsidR="00AE7FC7">
        <w:rPr>
          <w:lang w:val="en-US"/>
        </w:rPr>
        <w:t>, M. y</w:t>
      </w:r>
      <w:r w:rsidRPr="0093499C">
        <w:rPr>
          <w:lang w:val="en-US"/>
        </w:rPr>
        <w:t xml:space="preserve"> Reiman, M. (2015). </w:t>
      </w:r>
      <w:r w:rsidRPr="0093499C">
        <w:rPr>
          <w:i/>
          <w:iCs/>
          <w:lang w:val="en-US"/>
        </w:rPr>
        <w:t>Alcohol market, consumption and harms in Estonia</w:t>
      </w:r>
      <w:r w:rsidRPr="0093499C">
        <w:rPr>
          <w:lang w:val="en-US"/>
        </w:rPr>
        <w:t xml:space="preserve">. </w:t>
      </w:r>
      <w:r w:rsidRPr="00291E6C">
        <w:rPr>
          <w:lang w:val="en-US"/>
        </w:rPr>
        <w:t xml:space="preserve">Tallinn: </w:t>
      </w:r>
      <w:proofErr w:type="spellStart"/>
      <w:r w:rsidRPr="00291E6C">
        <w:rPr>
          <w:lang w:val="en-US"/>
        </w:rPr>
        <w:t>Eesti</w:t>
      </w:r>
      <w:proofErr w:type="spellEnd"/>
      <w:r w:rsidRPr="00291E6C">
        <w:rPr>
          <w:lang w:val="en-US"/>
        </w:rPr>
        <w:t xml:space="preserve"> </w:t>
      </w:r>
      <w:proofErr w:type="spellStart"/>
      <w:r w:rsidRPr="00291E6C">
        <w:rPr>
          <w:lang w:val="en-US"/>
        </w:rPr>
        <w:t>Konjunktuuriinstituut</w:t>
      </w:r>
      <w:proofErr w:type="spellEnd"/>
      <w:r w:rsidRPr="00291E6C">
        <w:rPr>
          <w:lang w:val="en-US"/>
        </w:rPr>
        <w:t>.</w:t>
      </w:r>
      <w:r w:rsidR="00F06DCB" w:rsidRPr="00291E6C">
        <w:rPr>
          <w:lang w:val="en-US"/>
        </w:rPr>
        <w:t xml:space="preserve"> </w:t>
      </w:r>
      <w:r w:rsidR="00F06DCB" w:rsidRPr="00F06DCB">
        <w:t>Recuperado de http://rahvatervis.ut.ee/handle/1/6647</w:t>
      </w:r>
      <w:r w:rsidR="00F06DCB">
        <w:t xml:space="preserve">. </w:t>
      </w:r>
    </w:p>
    <w:p w:rsidR="0093499C" w:rsidRPr="00291E6C" w:rsidRDefault="0093499C" w:rsidP="0093499C">
      <w:pPr>
        <w:pStyle w:val="Bibliografa"/>
        <w:rPr>
          <w:lang w:val="en-US"/>
        </w:rPr>
      </w:pPr>
      <w:r w:rsidRPr="0093499C">
        <w:t>Popova, S., G</w:t>
      </w:r>
      <w:r w:rsidR="00AE7FC7">
        <w:t xml:space="preserve">iesbrecht, N., </w:t>
      </w:r>
      <w:proofErr w:type="spellStart"/>
      <w:r w:rsidR="00AE7FC7">
        <w:t>Bekmuradov</w:t>
      </w:r>
      <w:proofErr w:type="spellEnd"/>
      <w:r w:rsidR="00AE7FC7">
        <w:t>, D. y</w:t>
      </w:r>
      <w:r w:rsidRPr="0093499C">
        <w:t xml:space="preserve"> Patra, J. (2009). </w:t>
      </w:r>
      <w:r w:rsidRPr="0093499C">
        <w:rPr>
          <w:lang w:val="en-US"/>
        </w:rPr>
        <w:t xml:space="preserve">Hours and days of sale and density of alcohol outlets: impacts on alcohol consumption and damage: a systematic review. </w:t>
      </w:r>
      <w:r w:rsidRPr="00291E6C">
        <w:rPr>
          <w:i/>
          <w:iCs/>
          <w:lang w:val="en-US"/>
        </w:rPr>
        <w:t xml:space="preserve">Alcohol </w:t>
      </w:r>
      <w:r w:rsidR="00FC1524" w:rsidRPr="00291E6C">
        <w:rPr>
          <w:i/>
          <w:iCs/>
          <w:lang w:val="en-US"/>
        </w:rPr>
        <w:t xml:space="preserve">and </w:t>
      </w:r>
      <w:r w:rsidRPr="00291E6C">
        <w:rPr>
          <w:i/>
          <w:iCs/>
          <w:lang w:val="en-US"/>
        </w:rPr>
        <w:t>Alcohol</w:t>
      </w:r>
      <w:r w:rsidR="000733DD" w:rsidRPr="00291E6C">
        <w:rPr>
          <w:i/>
          <w:iCs/>
          <w:lang w:val="en-US"/>
        </w:rPr>
        <w:t>ism</w:t>
      </w:r>
      <w:r w:rsidRPr="00291E6C">
        <w:rPr>
          <w:lang w:val="en-US"/>
        </w:rPr>
        <w:t xml:space="preserve">, </w:t>
      </w:r>
      <w:r w:rsidRPr="00291E6C">
        <w:rPr>
          <w:i/>
          <w:iCs/>
          <w:lang w:val="en-US"/>
        </w:rPr>
        <w:t>44</w:t>
      </w:r>
      <w:r w:rsidRPr="00291E6C">
        <w:rPr>
          <w:lang w:val="en-US"/>
        </w:rPr>
        <w:t xml:space="preserve">, 500-516. </w:t>
      </w:r>
      <w:r w:rsidR="00591823" w:rsidRPr="00291E6C">
        <w:rPr>
          <w:lang w:val="en-US"/>
        </w:rPr>
        <w:t>doi:</w:t>
      </w:r>
      <w:r w:rsidRPr="00291E6C">
        <w:rPr>
          <w:lang w:val="en-US"/>
        </w:rPr>
        <w:t>10.1093/</w:t>
      </w:r>
      <w:proofErr w:type="spellStart"/>
      <w:r w:rsidRPr="00291E6C">
        <w:rPr>
          <w:lang w:val="en-US"/>
        </w:rPr>
        <w:t>alcalc</w:t>
      </w:r>
      <w:proofErr w:type="spellEnd"/>
      <w:r w:rsidRPr="00291E6C">
        <w:rPr>
          <w:lang w:val="en-US"/>
        </w:rPr>
        <w:t>/agp054</w:t>
      </w:r>
    </w:p>
    <w:p w:rsidR="0093499C" w:rsidRPr="00291E6C" w:rsidRDefault="0093499C" w:rsidP="0093499C">
      <w:pPr>
        <w:pStyle w:val="Bibliografa"/>
      </w:pPr>
      <w:r w:rsidRPr="00AE7FC7">
        <w:lastRenderedPageBreak/>
        <w:t xml:space="preserve">Pulido, J., </w:t>
      </w:r>
      <w:proofErr w:type="spellStart"/>
      <w:r w:rsidRPr="00AE7FC7">
        <w:t>Indave</w:t>
      </w:r>
      <w:proofErr w:type="spellEnd"/>
      <w:r w:rsidRPr="00AE7FC7">
        <w:t xml:space="preserve">-Ruiz, B. I., </w:t>
      </w:r>
      <w:proofErr w:type="spellStart"/>
      <w:r w:rsidRPr="00AE7FC7">
        <w:t>Colell</w:t>
      </w:r>
      <w:proofErr w:type="spellEnd"/>
      <w:r w:rsidRPr="00AE7FC7">
        <w:t>-Ortega, E.</w:t>
      </w:r>
      <w:r w:rsidR="00AE7FC7" w:rsidRPr="00AE7FC7">
        <w:t xml:space="preserve">, Ruiz-García, M., </w:t>
      </w:r>
      <w:proofErr w:type="spellStart"/>
      <w:r w:rsidR="00AE7FC7" w:rsidRPr="00AE7FC7">
        <w:t>Bartroli</w:t>
      </w:r>
      <w:proofErr w:type="spellEnd"/>
      <w:r w:rsidR="00AE7FC7" w:rsidRPr="00AE7FC7">
        <w:t>, M.</w:t>
      </w:r>
      <w:r w:rsidR="00AE7FC7">
        <w:t xml:space="preserve"> y</w:t>
      </w:r>
      <w:r w:rsidRPr="00AE7FC7">
        <w:t xml:space="preserve"> Barrio, G. (2014). </w:t>
      </w:r>
      <w:r w:rsidR="00C61C5B" w:rsidRPr="00C61C5B">
        <w:rPr>
          <w:bCs/>
        </w:rPr>
        <w:t>Estudios poblacionales en España sobre daños relacionados con el consumo de alcohol</w:t>
      </w:r>
      <w:r w:rsidRPr="00C61C5B">
        <w:t xml:space="preserve">. </w:t>
      </w:r>
      <w:r w:rsidRPr="00291E6C">
        <w:rPr>
          <w:i/>
          <w:iCs/>
        </w:rPr>
        <w:t>Rev</w:t>
      </w:r>
      <w:r w:rsidR="000733DD" w:rsidRPr="00291E6C">
        <w:rPr>
          <w:i/>
          <w:iCs/>
        </w:rPr>
        <w:t>ista</w:t>
      </w:r>
      <w:r w:rsidRPr="00291E6C">
        <w:rPr>
          <w:i/>
          <w:iCs/>
        </w:rPr>
        <w:t xml:space="preserve"> Esp</w:t>
      </w:r>
      <w:r w:rsidR="000733DD" w:rsidRPr="00291E6C">
        <w:rPr>
          <w:i/>
          <w:iCs/>
        </w:rPr>
        <w:t>añola</w:t>
      </w:r>
      <w:r w:rsidRPr="00291E6C">
        <w:rPr>
          <w:i/>
          <w:iCs/>
        </w:rPr>
        <w:t xml:space="preserve"> </w:t>
      </w:r>
      <w:r w:rsidR="000733DD" w:rsidRPr="00291E6C">
        <w:rPr>
          <w:i/>
          <w:iCs/>
        </w:rPr>
        <w:t xml:space="preserve">de </w:t>
      </w:r>
      <w:r w:rsidR="00FC1524" w:rsidRPr="00291E6C">
        <w:rPr>
          <w:i/>
          <w:iCs/>
        </w:rPr>
        <w:t>Salud Pú</w:t>
      </w:r>
      <w:r w:rsidRPr="00291E6C">
        <w:rPr>
          <w:i/>
          <w:iCs/>
        </w:rPr>
        <w:t>blica</w:t>
      </w:r>
      <w:r w:rsidRPr="00291E6C">
        <w:t xml:space="preserve">, </w:t>
      </w:r>
      <w:r w:rsidRPr="00291E6C">
        <w:rPr>
          <w:i/>
          <w:iCs/>
        </w:rPr>
        <w:t>88</w:t>
      </w:r>
      <w:r w:rsidRPr="00291E6C">
        <w:t xml:space="preserve">, 493-513. </w:t>
      </w:r>
      <w:proofErr w:type="gramStart"/>
      <w:r w:rsidR="00591823" w:rsidRPr="00291E6C">
        <w:t>doi:</w:t>
      </w:r>
      <w:proofErr w:type="gramEnd"/>
      <w:r w:rsidRPr="00291E6C">
        <w:t>10.4321/S1135-57272014000400005</w:t>
      </w:r>
    </w:p>
    <w:p w:rsidR="0093499C" w:rsidRPr="0093499C" w:rsidRDefault="0093499C" w:rsidP="0093499C">
      <w:pPr>
        <w:pStyle w:val="Bibliografa"/>
      </w:pPr>
      <w:r w:rsidRPr="0093499C">
        <w:t>Ruiz-</w:t>
      </w:r>
      <w:proofErr w:type="spellStart"/>
      <w:r w:rsidRPr="0093499C">
        <w:t>Perez</w:t>
      </w:r>
      <w:proofErr w:type="spellEnd"/>
      <w:r w:rsidRPr="0093499C">
        <w:t xml:space="preserve">, G. (2016). </w:t>
      </w:r>
      <w:r w:rsidRPr="0093499C">
        <w:rPr>
          <w:i/>
          <w:iCs/>
        </w:rPr>
        <w:t>Entorno urbano y consumo de alcohol: diseño y validación de un instrumento de medida y caracterización del entorno de alcohol en Madrid</w:t>
      </w:r>
      <w:r w:rsidRPr="0093499C">
        <w:t xml:space="preserve">. </w:t>
      </w:r>
      <w:r w:rsidR="00AE7FC7">
        <w:t xml:space="preserve">Madrid: </w:t>
      </w:r>
      <w:r w:rsidRPr="0093499C">
        <w:t>Universidad Francisco de Vitoria.</w:t>
      </w:r>
    </w:p>
    <w:p w:rsidR="0093499C" w:rsidRPr="0093499C" w:rsidRDefault="0093499C" w:rsidP="0093499C">
      <w:pPr>
        <w:pStyle w:val="Bibliografa"/>
      </w:pPr>
      <w:r w:rsidRPr="0093499C">
        <w:t xml:space="preserve">Sánchez-Pardo, L. (2012). </w:t>
      </w:r>
      <w:r w:rsidRPr="0093499C">
        <w:rPr>
          <w:i/>
          <w:iCs/>
        </w:rPr>
        <w:t>Prevención del consumo de alcohol y otras drogas en espacios de ocio. Guía para padres y madres con hijos e hijas adolescentes</w:t>
      </w:r>
      <w:r w:rsidRPr="0093499C">
        <w:t xml:space="preserve"> (</w:t>
      </w:r>
      <w:r w:rsidR="000733DD">
        <w:t>5a ed</w:t>
      </w:r>
      <w:r w:rsidRPr="0093499C">
        <w:t xml:space="preserve">). Alicante: </w:t>
      </w:r>
      <w:r w:rsidR="00AE7FC7">
        <w:t xml:space="preserve">Área de Igualdad y Juventud de la </w:t>
      </w:r>
      <w:r w:rsidRPr="0093499C">
        <w:t>Diputación de Alicante.</w:t>
      </w:r>
    </w:p>
    <w:p w:rsidR="0093499C" w:rsidRPr="00F06DCB" w:rsidRDefault="0093499C" w:rsidP="0093499C">
      <w:pPr>
        <w:pStyle w:val="Bibliografa"/>
      </w:pPr>
      <w:r w:rsidRPr="0093499C">
        <w:t>Sánchez-Que</w:t>
      </w:r>
      <w:r w:rsidR="00AE7FC7">
        <w:t>ija, I., Moreno, C., Rivera, F. y</w:t>
      </w:r>
      <w:r w:rsidRPr="0093499C">
        <w:t xml:space="preserve"> Ramos, P. (2015). </w:t>
      </w:r>
      <w:r w:rsidRPr="0093499C">
        <w:rPr>
          <w:lang w:val="en-US"/>
        </w:rPr>
        <w:t>Alcohol consumption trends amon</w:t>
      </w:r>
      <w:r w:rsidRPr="00F06DCB">
        <w:rPr>
          <w:lang w:val="en-US"/>
        </w:rPr>
        <w:t xml:space="preserve">g Spanish school-aged adolescents in the first decade of the 21st century. </w:t>
      </w:r>
      <w:r w:rsidRPr="00F06DCB">
        <w:rPr>
          <w:i/>
          <w:iCs/>
        </w:rPr>
        <w:t>Gac</w:t>
      </w:r>
      <w:r w:rsidR="000733DD">
        <w:rPr>
          <w:i/>
          <w:iCs/>
        </w:rPr>
        <w:t>eta</w:t>
      </w:r>
      <w:r w:rsidRPr="00F06DCB">
        <w:rPr>
          <w:i/>
          <w:iCs/>
        </w:rPr>
        <w:t xml:space="preserve"> Sanit</w:t>
      </w:r>
      <w:r w:rsidR="000733DD">
        <w:rPr>
          <w:i/>
          <w:iCs/>
        </w:rPr>
        <w:t>aria</w:t>
      </w:r>
      <w:r w:rsidRPr="00F06DCB">
        <w:t xml:space="preserve">, </w:t>
      </w:r>
      <w:r w:rsidRPr="00F06DCB">
        <w:rPr>
          <w:i/>
          <w:iCs/>
        </w:rPr>
        <w:t>29</w:t>
      </w:r>
      <w:r w:rsidRPr="00F06DCB">
        <w:t>, 184–189.</w:t>
      </w:r>
      <w:r w:rsidR="00F06DCB" w:rsidRPr="00F06DCB">
        <w:t xml:space="preserve"> http://dx.doi.org/10.1016/j.gaceta.2015.01.004. </w:t>
      </w:r>
    </w:p>
    <w:p w:rsidR="0093499C" w:rsidRPr="0093499C" w:rsidRDefault="0093499C" w:rsidP="0093499C">
      <w:pPr>
        <w:pStyle w:val="Bibliografa"/>
      </w:pPr>
      <w:r w:rsidRPr="0093499C">
        <w:t>Santama</w:t>
      </w:r>
      <w:r w:rsidR="00AE7FC7">
        <w:t xml:space="preserve">riña-Rubio, E., </w:t>
      </w:r>
      <w:proofErr w:type="spellStart"/>
      <w:r w:rsidR="00AE7FC7">
        <w:t>Serral</w:t>
      </w:r>
      <w:proofErr w:type="spellEnd"/>
      <w:r w:rsidR="00AE7FC7">
        <w:t>-Cano, G.</w:t>
      </w:r>
      <w:r w:rsidRPr="0093499C">
        <w:t xml:space="preserve"> </w:t>
      </w:r>
      <w:r w:rsidR="00AE7FC7">
        <w:t>y</w:t>
      </w:r>
      <w:r w:rsidRPr="0093499C">
        <w:t xml:space="preserve"> Ariza, C. (2017). </w:t>
      </w:r>
      <w:r w:rsidRPr="0093499C">
        <w:rPr>
          <w:i/>
          <w:iCs/>
        </w:rPr>
        <w:t>La salut i els seus determinants en l’alumnat adolescent de Barcelona. Enquesta FRESC 2016.</w:t>
      </w:r>
      <w:r w:rsidRPr="0093499C">
        <w:t xml:space="preserve"> Barcelona: Agència de Salut Pública de Barcelona</w:t>
      </w:r>
      <w:r w:rsidR="00B5798D">
        <w:t xml:space="preserve">. Recuperado de </w:t>
      </w:r>
      <w:r w:rsidR="00F06DCB" w:rsidRPr="00F06DCB">
        <w:t>https://www.aspb.cat/wp-content/uploads/2017/05/salut-i-els-seus-determinants-en-alumnat-adolescent-Barcelona-FRESC-2016.pdf</w:t>
      </w:r>
      <w:r w:rsidRPr="0093499C">
        <w:t>.</w:t>
      </w:r>
    </w:p>
    <w:p w:rsidR="0093499C" w:rsidRPr="0093499C" w:rsidRDefault="0093499C" w:rsidP="0093499C">
      <w:pPr>
        <w:pStyle w:val="Bibliografa"/>
      </w:pPr>
      <w:proofErr w:type="spellStart"/>
      <w:r w:rsidRPr="00291E6C">
        <w:rPr>
          <w:lang w:val="en-US"/>
        </w:rPr>
        <w:t>Sud</w:t>
      </w:r>
      <w:r w:rsidR="00AE7FC7">
        <w:rPr>
          <w:lang w:val="en-US"/>
        </w:rPr>
        <w:t>hinaraset</w:t>
      </w:r>
      <w:proofErr w:type="spellEnd"/>
      <w:r w:rsidR="00AE7FC7">
        <w:rPr>
          <w:lang w:val="en-US"/>
        </w:rPr>
        <w:t>, M., Wigglesworth, C.</w:t>
      </w:r>
      <w:r w:rsidRPr="00291E6C">
        <w:rPr>
          <w:lang w:val="en-US"/>
        </w:rPr>
        <w:t xml:space="preserve"> </w:t>
      </w:r>
      <w:r w:rsidR="00AE7FC7">
        <w:rPr>
          <w:lang w:val="en-US"/>
        </w:rPr>
        <w:t>y</w:t>
      </w:r>
      <w:r w:rsidRPr="00291E6C">
        <w:rPr>
          <w:lang w:val="en-US"/>
        </w:rPr>
        <w:t xml:space="preserve"> Takeuchi, D. T. (2016). </w:t>
      </w:r>
      <w:r w:rsidRPr="0093499C">
        <w:rPr>
          <w:lang w:val="en-US"/>
        </w:rPr>
        <w:t xml:space="preserve">Social and Cultural Contexts of Alcohol Use: Influences in a Social-Ecological Framework. </w:t>
      </w:r>
      <w:r w:rsidRPr="0093499C">
        <w:rPr>
          <w:i/>
          <w:iCs/>
        </w:rPr>
        <w:t>Alcohol Res</w:t>
      </w:r>
      <w:r w:rsidR="000733DD">
        <w:rPr>
          <w:i/>
          <w:iCs/>
        </w:rPr>
        <w:t>earch</w:t>
      </w:r>
      <w:r w:rsidRPr="0093499C">
        <w:t xml:space="preserve">, </w:t>
      </w:r>
      <w:r w:rsidRPr="0093499C">
        <w:rPr>
          <w:i/>
          <w:iCs/>
        </w:rPr>
        <w:t>38</w:t>
      </w:r>
      <w:r w:rsidRPr="0093499C">
        <w:t>, 35-45</w:t>
      </w:r>
      <w:r w:rsidR="00B5798D">
        <w:t xml:space="preserve">. Recuperado de </w:t>
      </w:r>
      <w:r w:rsidR="00B5798D" w:rsidRPr="00B5798D">
        <w:t>https://www.ncbi.nlm.nih.gov/pmc/articles/PMC4872611/pdf/arcr-38-1-35.pdf</w:t>
      </w:r>
      <w:r w:rsidRPr="0093499C">
        <w:t>.</w:t>
      </w:r>
    </w:p>
    <w:p w:rsidR="0093499C" w:rsidRPr="00291E6C" w:rsidRDefault="0093499C" w:rsidP="0093499C">
      <w:pPr>
        <w:pStyle w:val="Bibliografa"/>
      </w:pPr>
      <w:r w:rsidRPr="0093499C">
        <w:lastRenderedPageBreak/>
        <w:t xml:space="preserve">Sureda, </w:t>
      </w:r>
      <w:r w:rsidR="00AE7FC7">
        <w:t>X., Villalbí, J. R., Espelt, A. y</w:t>
      </w:r>
      <w:r w:rsidRPr="0093499C">
        <w:t xml:space="preserve"> Franco, M. (2017). </w:t>
      </w:r>
      <w:r w:rsidRPr="0093499C">
        <w:rPr>
          <w:lang w:val="en-US"/>
        </w:rPr>
        <w:t xml:space="preserve">Living under the influence: normalisation of alcohol consumption in our cities. </w:t>
      </w:r>
      <w:r w:rsidRPr="00291E6C">
        <w:rPr>
          <w:i/>
          <w:iCs/>
        </w:rPr>
        <w:t>Gac</w:t>
      </w:r>
      <w:r w:rsidR="000733DD" w:rsidRPr="00291E6C">
        <w:rPr>
          <w:i/>
          <w:iCs/>
        </w:rPr>
        <w:t>eta</w:t>
      </w:r>
      <w:r w:rsidRPr="00291E6C">
        <w:rPr>
          <w:i/>
          <w:iCs/>
        </w:rPr>
        <w:t xml:space="preserve"> Sanit</w:t>
      </w:r>
      <w:r w:rsidR="000733DD" w:rsidRPr="00291E6C">
        <w:rPr>
          <w:i/>
          <w:iCs/>
        </w:rPr>
        <w:t>aria</w:t>
      </w:r>
      <w:r w:rsidRPr="00291E6C">
        <w:t xml:space="preserve">, </w:t>
      </w:r>
      <w:r w:rsidRPr="00291E6C">
        <w:rPr>
          <w:i/>
          <w:iCs/>
        </w:rPr>
        <w:t>31</w:t>
      </w:r>
      <w:r w:rsidRPr="00291E6C">
        <w:t xml:space="preserve">, 66-8. </w:t>
      </w:r>
      <w:r w:rsidR="00591823" w:rsidRPr="00291E6C">
        <w:t>doi:</w:t>
      </w:r>
      <w:r w:rsidRPr="00291E6C">
        <w:t>10.1016/j.gaceta.2016.07.018</w:t>
      </w:r>
      <w:r w:rsidR="00B5798D" w:rsidRPr="00291E6C">
        <w:t>.</w:t>
      </w:r>
    </w:p>
    <w:p w:rsidR="0093499C" w:rsidRPr="00291E6C" w:rsidRDefault="0093499C" w:rsidP="0093499C">
      <w:pPr>
        <w:pStyle w:val="Bibliografa"/>
      </w:pPr>
      <w:proofErr w:type="spellStart"/>
      <w:r w:rsidRPr="00291E6C">
        <w:t>Villalbí</w:t>
      </w:r>
      <w:proofErr w:type="spellEnd"/>
      <w:r w:rsidRPr="00291E6C">
        <w:t xml:space="preserve">, J., </w:t>
      </w:r>
      <w:proofErr w:type="spellStart"/>
      <w:r w:rsidRPr="00291E6C">
        <w:t>Bartroli</w:t>
      </w:r>
      <w:proofErr w:type="spellEnd"/>
      <w:r w:rsidRPr="00291E6C">
        <w:t>, M., Bosque-</w:t>
      </w:r>
      <w:proofErr w:type="spellStart"/>
      <w:r w:rsidRPr="00291E6C">
        <w:t>Prous</w:t>
      </w:r>
      <w:proofErr w:type="spellEnd"/>
      <w:r w:rsidRPr="00291E6C">
        <w:t xml:space="preserve">, M., </w:t>
      </w:r>
      <w:proofErr w:type="spellStart"/>
      <w:r w:rsidRPr="00291E6C">
        <w:t>Guitart</w:t>
      </w:r>
      <w:proofErr w:type="spellEnd"/>
      <w:r w:rsidRPr="00291E6C">
        <w:t>, A</w:t>
      </w:r>
      <w:r w:rsidR="00AE7FC7">
        <w:t>., Serra-Batiste, E., Casas, C.</w:t>
      </w:r>
      <w:r w:rsidRPr="00291E6C">
        <w:t xml:space="preserve"> </w:t>
      </w:r>
      <w:r w:rsidR="00AE7FC7">
        <w:t>y</w:t>
      </w:r>
      <w:r w:rsidRPr="00291E6C">
        <w:t xml:space="preserve"> </w:t>
      </w:r>
      <w:proofErr w:type="spellStart"/>
      <w:r w:rsidRPr="00291E6C">
        <w:t>Brugal</w:t>
      </w:r>
      <w:proofErr w:type="spellEnd"/>
      <w:r w:rsidRPr="00291E6C">
        <w:t>, M.</w:t>
      </w:r>
      <w:r w:rsidR="00AE7FC7">
        <w:t>T.</w:t>
      </w:r>
      <w:r w:rsidRPr="00291E6C">
        <w:t xml:space="preserve"> (2015). </w:t>
      </w:r>
      <w:r w:rsidRPr="0093499C">
        <w:rPr>
          <w:lang w:val="en-US"/>
        </w:rPr>
        <w:t xml:space="preserve">Enforcing regulations on alcohol sales and use as universal environmental prevention. </w:t>
      </w:r>
      <w:r w:rsidRPr="00291E6C">
        <w:rPr>
          <w:i/>
          <w:iCs/>
        </w:rPr>
        <w:t>Adicciones</w:t>
      </w:r>
      <w:r w:rsidRPr="00291E6C">
        <w:t xml:space="preserve">, </w:t>
      </w:r>
      <w:r w:rsidRPr="00291E6C">
        <w:rPr>
          <w:i/>
          <w:iCs/>
        </w:rPr>
        <w:t>27</w:t>
      </w:r>
      <w:r w:rsidRPr="00291E6C">
        <w:t>, 288-293</w:t>
      </w:r>
      <w:r w:rsidR="00B5798D" w:rsidRPr="00291E6C">
        <w:t xml:space="preserve">. </w:t>
      </w:r>
      <w:r w:rsidR="00591823" w:rsidRPr="00291E6C">
        <w:t>doi:</w:t>
      </w:r>
      <w:r w:rsidR="00B5798D" w:rsidRPr="00291E6C">
        <w:t>10.20882/adicciones.753</w:t>
      </w:r>
      <w:r w:rsidRPr="00291E6C">
        <w:t>.</w:t>
      </w:r>
    </w:p>
    <w:p w:rsidR="0093499C" w:rsidRPr="0093499C" w:rsidRDefault="0093499C" w:rsidP="0093499C">
      <w:pPr>
        <w:pStyle w:val="Bibliografa"/>
      </w:pPr>
      <w:proofErr w:type="spellStart"/>
      <w:r w:rsidRPr="00B5798D">
        <w:t>Villalbí</w:t>
      </w:r>
      <w:proofErr w:type="spellEnd"/>
      <w:r w:rsidRPr="00B5798D">
        <w:t>, J.</w:t>
      </w:r>
      <w:r w:rsidR="00AE7FC7">
        <w:t xml:space="preserve"> y</w:t>
      </w:r>
      <w:r w:rsidRPr="00B5798D">
        <w:t xml:space="preserve"> Benavides, F. (2014). </w:t>
      </w:r>
      <w:r w:rsidR="00C61C5B" w:rsidRPr="00C61C5B">
        <w:t>Contribuir a la salud pública desde las sociedades profesionales y científicas: el Grupo de Trabajo sobre Alcohol de la Soc</w:t>
      </w:r>
      <w:r w:rsidR="00B5798D">
        <w:t>iedad Española de Epidemiología</w:t>
      </w:r>
      <w:r w:rsidRPr="00B5798D">
        <w:t xml:space="preserve">. </w:t>
      </w:r>
      <w:r w:rsidRPr="0093499C">
        <w:rPr>
          <w:i/>
          <w:iCs/>
        </w:rPr>
        <w:t>Rev</w:t>
      </w:r>
      <w:r w:rsidR="000733DD">
        <w:rPr>
          <w:i/>
          <w:iCs/>
        </w:rPr>
        <w:t>ista</w:t>
      </w:r>
      <w:r w:rsidRPr="0093499C">
        <w:rPr>
          <w:i/>
          <w:iCs/>
        </w:rPr>
        <w:t xml:space="preserve"> Esp</w:t>
      </w:r>
      <w:r w:rsidR="000733DD">
        <w:rPr>
          <w:i/>
          <w:iCs/>
        </w:rPr>
        <w:t>añola de</w:t>
      </w:r>
      <w:r w:rsidRPr="0093499C">
        <w:rPr>
          <w:i/>
          <w:iCs/>
        </w:rPr>
        <w:t xml:space="preserve"> Salud P</w:t>
      </w:r>
      <w:r w:rsidR="000733DD">
        <w:rPr>
          <w:i/>
          <w:iCs/>
        </w:rPr>
        <w:t>ú</w:t>
      </w:r>
      <w:r w:rsidRPr="0093499C">
        <w:rPr>
          <w:i/>
          <w:iCs/>
        </w:rPr>
        <w:t>blica</w:t>
      </w:r>
      <w:r w:rsidRPr="0093499C">
        <w:t xml:space="preserve">, </w:t>
      </w:r>
      <w:r w:rsidRPr="0093499C">
        <w:rPr>
          <w:i/>
          <w:iCs/>
        </w:rPr>
        <w:t>88</w:t>
      </w:r>
      <w:r w:rsidRPr="0093499C">
        <w:t xml:space="preserve">, 429-432. </w:t>
      </w:r>
      <w:r w:rsidR="00591823">
        <w:t>doi:</w:t>
      </w:r>
      <w:r w:rsidRPr="0093499C">
        <w:t>10.4321/S1135-57272014000400001</w:t>
      </w:r>
      <w:r w:rsidR="00B5798D">
        <w:t>.</w:t>
      </w:r>
    </w:p>
    <w:p w:rsidR="0093499C" w:rsidRPr="0093499C" w:rsidRDefault="0093499C" w:rsidP="0093499C">
      <w:pPr>
        <w:pStyle w:val="Bibliografa"/>
      </w:pPr>
      <w:r w:rsidRPr="0093499C">
        <w:t>Villalbi, J. R., Granero, L.</w:t>
      </w:r>
      <w:r w:rsidR="00AE7FC7">
        <w:t xml:space="preserve"> y </w:t>
      </w:r>
      <w:r w:rsidRPr="0093499C">
        <w:t xml:space="preserve"> </w:t>
      </w:r>
      <w:proofErr w:type="spellStart"/>
      <w:r w:rsidRPr="0093499C">
        <w:t>Brugal</w:t>
      </w:r>
      <w:proofErr w:type="spellEnd"/>
      <w:r w:rsidRPr="0093499C">
        <w:t xml:space="preserve">, M. T. (2008). </w:t>
      </w:r>
      <w:r w:rsidR="00B5798D" w:rsidRPr="00B5798D">
        <w:t>Políticas de regulación del alcohol en España: ¿salud pública basada en la experiencia? Informe SESPAS 2008</w:t>
      </w:r>
      <w:r w:rsidRPr="0093499C">
        <w:t xml:space="preserve">. </w:t>
      </w:r>
      <w:r w:rsidRPr="0093499C">
        <w:rPr>
          <w:i/>
          <w:iCs/>
        </w:rPr>
        <w:t>Gac</w:t>
      </w:r>
      <w:r w:rsidR="000733DD">
        <w:rPr>
          <w:i/>
          <w:iCs/>
        </w:rPr>
        <w:t>eta</w:t>
      </w:r>
      <w:r w:rsidRPr="0093499C">
        <w:rPr>
          <w:i/>
          <w:iCs/>
        </w:rPr>
        <w:t xml:space="preserve"> Sanit</w:t>
      </w:r>
      <w:r w:rsidR="000733DD">
        <w:rPr>
          <w:i/>
          <w:iCs/>
        </w:rPr>
        <w:t>aria</w:t>
      </w:r>
      <w:r w:rsidRPr="0093499C">
        <w:t xml:space="preserve">, </w:t>
      </w:r>
      <w:r w:rsidRPr="0093499C">
        <w:rPr>
          <w:i/>
          <w:iCs/>
        </w:rPr>
        <w:t xml:space="preserve">22 </w:t>
      </w:r>
      <w:r w:rsidR="000733DD">
        <w:rPr>
          <w:i/>
          <w:iCs/>
        </w:rPr>
        <w:t>(</w:t>
      </w:r>
      <w:r w:rsidRPr="0093499C">
        <w:rPr>
          <w:i/>
          <w:iCs/>
        </w:rPr>
        <w:t>Supl</w:t>
      </w:r>
      <w:r w:rsidR="000733DD">
        <w:rPr>
          <w:i/>
          <w:iCs/>
        </w:rPr>
        <w:t>.</w:t>
      </w:r>
      <w:r w:rsidRPr="0093499C">
        <w:rPr>
          <w:i/>
          <w:iCs/>
        </w:rPr>
        <w:t xml:space="preserve"> 1</w:t>
      </w:r>
      <w:r w:rsidR="000733DD">
        <w:rPr>
          <w:i/>
          <w:iCs/>
        </w:rPr>
        <w:t>)</w:t>
      </w:r>
      <w:r w:rsidRPr="0093499C">
        <w:t>, 79-85</w:t>
      </w:r>
      <w:r w:rsidR="00B5798D">
        <w:t xml:space="preserve">. </w:t>
      </w:r>
      <w:r w:rsidR="00591823">
        <w:t>doi:</w:t>
      </w:r>
      <w:r w:rsidR="00B5798D" w:rsidRPr="00B5798D">
        <w:t>10.1016/S0213-9111(08)76078-3</w:t>
      </w:r>
      <w:r w:rsidRPr="0093499C">
        <w:t>.</w:t>
      </w:r>
      <w:r w:rsidR="00B5798D">
        <w:t xml:space="preserve"> </w:t>
      </w:r>
    </w:p>
    <w:p w:rsidR="000E0EE9" w:rsidRPr="0013406B" w:rsidRDefault="000E0EE9" w:rsidP="001E5000">
      <w:pPr>
        <w:sectPr w:rsidR="000E0EE9" w:rsidRPr="0013406B">
          <w:footerReference w:type="default" r:id="rId8"/>
          <w:type w:val="continuous"/>
          <w:pgSz w:w="11906" w:h="16838"/>
          <w:pgMar w:top="1417" w:right="1701" w:bottom="1417" w:left="1701" w:header="708" w:footer="708" w:gutter="0"/>
          <w:cols w:space="708"/>
          <w:docGrid w:linePitch="360"/>
        </w:sectPr>
      </w:pPr>
      <w:r>
        <w:rPr>
          <w:lang w:val="en-US"/>
        </w:rPr>
        <w:fldChar w:fldCharType="end"/>
      </w:r>
    </w:p>
    <w:p w:rsidR="000E0EE9" w:rsidRDefault="000E0EE9">
      <w:r>
        <w:rPr>
          <w:b/>
          <w:bCs/>
        </w:rPr>
        <w:lastRenderedPageBreak/>
        <w:t>Figura 1.</w:t>
      </w:r>
      <w:r>
        <w:t xml:space="preserve"> Establecimientos que venden bebidas alcohólicas en las 20 secciones censales analizadas, por </w:t>
      </w:r>
      <w:r w:rsidR="00B76C7F">
        <w:t xml:space="preserve">tipología y </w:t>
      </w:r>
      <w:r>
        <w:t xml:space="preserve">distrito. Barcelona, 2015. </w:t>
      </w:r>
    </w:p>
    <w:p w:rsidR="000E0EE9" w:rsidRDefault="000E0EE9"/>
    <w:p w:rsidR="000E0EE9" w:rsidRDefault="000E0EE9"/>
    <w:p w:rsidR="000E0EE9" w:rsidRDefault="000E0EE9"/>
    <w:p w:rsidR="000E0EE9" w:rsidRDefault="00083725">
      <w:r>
        <w:rPr>
          <w:noProof/>
        </w:rPr>
        <w:drawing>
          <wp:anchor distT="316992" distB="231394" distL="333756" distR="358267" simplePos="0" relativeHeight="251658240" behindDoc="0" locked="0" layoutInCell="1" allowOverlap="1">
            <wp:simplePos x="0" y="0"/>
            <wp:positionH relativeFrom="column">
              <wp:posOffset>333375</wp:posOffset>
            </wp:positionH>
            <wp:positionV relativeFrom="paragraph">
              <wp:posOffset>354965</wp:posOffset>
            </wp:positionV>
            <wp:extent cx="7308850" cy="3566160"/>
            <wp:effectExtent l="0" t="0" r="6350" b="0"/>
            <wp:wrapTopAndBottom/>
            <wp:docPr id="1"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0E0EE9">
        <w:t xml:space="preserve">La categoría ‘otros’ incluye establecimientos donde </w:t>
      </w:r>
      <w:r w:rsidR="00B76C7F">
        <w:t xml:space="preserve">se da la </w:t>
      </w:r>
      <w:r w:rsidR="000E0EE9">
        <w:t xml:space="preserve">venta de bebidas </w:t>
      </w:r>
      <w:r w:rsidR="00B76C7F">
        <w:t xml:space="preserve">sin consumo, </w:t>
      </w:r>
      <w:r w:rsidR="000E0EE9">
        <w:t>pero esta ocupa un papel muy minoritario en el negocio (por ejemplo</w:t>
      </w:r>
      <w:r w:rsidR="00B76C7F">
        <w:t>,</w:t>
      </w:r>
      <w:r w:rsidR="000E0EE9">
        <w:t xml:space="preserve"> sangría </w:t>
      </w:r>
      <w:r w:rsidR="00B76C7F">
        <w:t xml:space="preserve">envasada </w:t>
      </w:r>
      <w:r w:rsidR="000E0EE9">
        <w:t xml:space="preserve">en tiendas de </w:t>
      </w:r>
      <w:proofErr w:type="spellStart"/>
      <w:r w:rsidR="000E0EE9">
        <w:t>souvenirs</w:t>
      </w:r>
      <w:proofErr w:type="spellEnd"/>
      <w:r w:rsidR="000E0EE9">
        <w:t xml:space="preserve"> turísticos). </w:t>
      </w:r>
    </w:p>
    <w:p w:rsidR="000E0EE9" w:rsidRDefault="000E0EE9">
      <w:r>
        <w:br w:type="page"/>
      </w:r>
      <w:r>
        <w:rPr>
          <w:b/>
          <w:bCs/>
        </w:rPr>
        <w:lastRenderedPageBreak/>
        <w:t>Figura 2.</w:t>
      </w:r>
      <w:r>
        <w:t>Indicios de consumo de alcohol visibles en el espacio público en las secciones censales analizadas, por franja horaria. Barcelona, 2015.</w:t>
      </w:r>
    </w:p>
    <w:p w:rsidR="000E0EE9" w:rsidRDefault="000E0EE9"/>
    <w:p w:rsidR="000E0EE9" w:rsidRDefault="00083725">
      <w:r>
        <w:rPr>
          <w:noProof/>
        </w:rPr>
        <w:drawing>
          <wp:inline distT="0" distB="0" distL="0" distR="0">
            <wp:extent cx="7523480" cy="3972560"/>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E0EE9" w:rsidRDefault="000E0EE9"/>
    <w:p w:rsidR="000E0EE9" w:rsidRDefault="000E0EE9">
      <w:r>
        <w:t>Nota: las observaciones excluyen las terrazas de los establecimientos de venta y consumo de alcohol. La categoría de ‘otros restos’ incluye elementos como envases de vidrio rotos, vasos de plástico abandonados y otros rastros de consumo.</w:t>
      </w:r>
    </w:p>
    <w:p w:rsidR="000E0EE9" w:rsidRDefault="000E0EE9"/>
    <w:p w:rsidR="000E0EE9" w:rsidRDefault="000E0EE9">
      <w:r>
        <w:br w:type="page"/>
      </w:r>
      <w:r>
        <w:rPr>
          <w:b/>
          <w:bCs/>
        </w:rPr>
        <w:lastRenderedPageBreak/>
        <w:t xml:space="preserve">Tabla 1. </w:t>
      </w:r>
      <w:r>
        <w:t>Elementos de publicidad y patrocinio de bebidas alcohólicas en la vía pública, por distrito. Barcelona, 2015.</w:t>
      </w:r>
    </w:p>
    <w:p w:rsidR="000E0EE9" w:rsidRDefault="000E0EE9"/>
    <w:tbl>
      <w:tblPr>
        <w:tblpPr w:leftFromText="141" w:rightFromText="141" w:vertAnchor="text" w:horzAnchor="margin" w:tblpY="170"/>
        <w:tblW w:w="11880"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1620"/>
        <w:gridCol w:w="1080"/>
        <w:gridCol w:w="1440"/>
        <w:gridCol w:w="1440"/>
        <w:gridCol w:w="1260"/>
        <w:gridCol w:w="1260"/>
        <w:gridCol w:w="1440"/>
        <w:gridCol w:w="1440"/>
        <w:gridCol w:w="900"/>
      </w:tblGrid>
      <w:tr w:rsidR="000E0EE9">
        <w:trPr>
          <w:cantSplit/>
          <w:trHeight w:val="390"/>
        </w:trPr>
        <w:tc>
          <w:tcPr>
            <w:tcW w:w="1620" w:type="dxa"/>
            <w:tcBorders>
              <w:top w:val="single" w:sz="6" w:space="0" w:color="auto"/>
              <w:left w:val="nil"/>
              <w:bottom w:val="single" w:sz="6" w:space="0" w:color="auto"/>
              <w:right w:val="nil"/>
            </w:tcBorders>
            <w:vAlign w:val="center"/>
          </w:tcPr>
          <w:p w:rsidR="000E0EE9" w:rsidRDefault="000E0EE9">
            <w:pPr>
              <w:rPr>
                <w:sz w:val="20"/>
                <w:szCs w:val="20"/>
              </w:rPr>
            </w:pPr>
            <w:r>
              <w:rPr>
                <w:b/>
                <w:bCs/>
                <w:sz w:val="20"/>
                <w:szCs w:val="20"/>
              </w:rPr>
              <w:t>Distrito</w:t>
            </w:r>
          </w:p>
        </w:tc>
        <w:tc>
          <w:tcPr>
            <w:tcW w:w="1080" w:type="dxa"/>
            <w:tcBorders>
              <w:top w:val="single" w:sz="6" w:space="0" w:color="auto"/>
              <w:left w:val="nil"/>
              <w:bottom w:val="single" w:sz="6" w:space="0" w:color="auto"/>
              <w:right w:val="nil"/>
            </w:tcBorders>
            <w:noWrap/>
            <w:tcMar>
              <w:top w:w="15" w:type="dxa"/>
              <w:left w:w="15" w:type="dxa"/>
              <w:bottom w:w="0" w:type="dxa"/>
              <w:right w:w="15" w:type="dxa"/>
            </w:tcMar>
            <w:vAlign w:val="center"/>
          </w:tcPr>
          <w:p w:rsidR="000E0EE9" w:rsidRPr="001E5000" w:rsidRDefault="000E0EE9">
            <w:pPr>
              <w:jc w:val="center"/>
              <w:rPr>
                <w:rFonts w:eastAsia="Arial Unicode MS"/>
                <w:b/>
                <w:sz w:val="20"/>
                <w:szCs w:val="20"/>
              </w:rPr>
            </w:pPr>
            <w:r w:rsidRPr="001E5000">
              <w:rPr>
                <w:b/>
                <w:sz w:val="20"/>
                <w:szCs w:val="20"/>
              </w:rPr>
              <w:t>Publicidad en la vía pública (1)</w:t>
            </w:r>
          </w:p>
        </w:tc>
        <w:tc>
          <w:tcPr>
            <w:tcW w:w="4140" w:type="dxa"/>
            <w:gridSpan w:val="3"/>
            <w:tcBorders>
              <w:top w:val="single" w:sz="6" w:space="0" w:color="auto"/>
              <w:left w:val="nil"/>
              <w:bottom w:val="single" w:sz="6" w:space="0" w:color="auto"/>
              <w:right w:val="nil"/>
            </w:tcBorders>
          </w:tcPr>
          <w:p w:rsidR="000E0EE9" w:rsidRPr="001E5000" w:rsidRDefault="000E0EE9">
            <w:pPr>
              <w:jc w:val="center"/>
              <w:rPr>
                <w:b/>
                <w:sz w:val="20"/>
                <w:szCs w:val="20"/>
              </w:rPr>
            </w:pPr>
            <w:r w:rsidRPr="001E5000">
              <w:rPr>
                <w:b/>
                <w:sz w:val="20"/>
                <w:szCs w:val="20"/>
              </w:rPr>
              <w:t>Elementos promocionales en locales de consumo</w:t>
            </w:r>
          </w:p>
        </w:tc>
        <w:tc>
          <w:tcPr>
            <w:tcW w:w="2700" w:type="dxa"/>
            <w:gridSpan w:val="2"/>
            <w:tcBorders>
              <w:top w:val="single" w:sz="6" w:space="0" w:color="auto"/>
              <w:left w:val="nil"/>
              <w:bottom w:val="single" w:sz="6" w:space="0" w:color="auto"/>
              <w:right w:val="nil"/>
            </w:tcBorders>
          </w:tcPr>
          <w:p w:rsidR="000E0EE9" w:rsidRPr="001E5000" w:rsidRDefault="000E0EE9">
            <w:pPr>
              <w:jc w:val="center"/>
              <w:rPr>
                <w:rFonts w:eastAsia="MS ????"/>
                <w:b/>
                <w:sz w:val="20"/>
                <w:szCs w:val="20"/>
              </w:rPr>
            </w:pPr>
            <w:r w:rsidRPr="001E5000">
              <w:rPr>
                <w:b/>
                <w:sz w:val="20"/>
                <w:szCs w:val="20"/>
              </w:rPr>
              <w:t>Elementos promocionales en locales de venta sin consumo</w:t>
            </w:r>
          </w:p>
        </w:tc>
        <w:tc>
          <w:tcPr>
            <w:tcW w:w="2340" w:type="dxa"/>
            <w:gridSpan w:val="2"/>
            <w:tcBorders>
              <w:top w:val="single" w:sz="6" w:space="0" w:color="auto"/>
              <w:left w:val="nil"/>
              <w:bottom w:val="single" w:sz="6" w:space="0" w:color="auto"/>
              <w:right w:val="nil"/>
            </w:tcBorders>
            <w:vAlign w:val="center"/>
          </w:tcPr>
          <w:p w:rsidR="000E0EE9" w:rsidRPr="001E5000" w:rsidRDefault="000E0EE9">
            <w:pPr>
              <w:jc w:val="center"/>
              <w:rPr>
                <w:b/>
                <w:sz w:val="20"/>
                <w:szCs w:val="20"/>
              </w:rPr>
            </w:pPr>
            <w:r w:rsidRPr="001E5000">
              <w:rPr>
                <w:b/>
                <w:bCs/>
                <w:sz w:val="20"/>
                <w:szCs w:val="20"/>
              </w:rPr>
              <w:t>Total de elementos promocionales</w:t>
            </w:r>
          </w:p>
          <w:p w:rsidR="000E0EE9" w:rsidRPr="001E5000" w:rsidRDefault="000E0EE9">
            <w:pPr>
              <w:jc w:val="center"/>
              <w:rPr>
                <w:b/>
                <w:sz w:val="20"/>
                <w:szCs w:val="20"/>
              </w:rPr>
            </w:pPr>
          </w:p>
        </w:tc>
      </w:tr>
      <w:tr w:rsidR="000E0EE9">
        <w:trPr>
          <w:trHeight w:val="390"/>
        </w:trPr>
        <w:tc>
          <w:tcPr>
            <w:tcW w:w="1620" w:type="dxa"/>
            <w:tcBorders>
              <w:top w:val="single" w:sz="6" w:space="0" w:color="auto"/>
              <w:left w:val="nil"/>
              <w:bottom w:val="single" w:sz="6" w:space="0" w:color="auto"/>
              <w:right w:val="nil"/>
            </w:tcBorders>
            <w:vAlign w:val="center"/>
          </w:tcPr>
          <w:p w:rsidR="000E0EE9" w:rsidRDefault="000E0EE9">
            <w:pPr>
              <w:rPr>
                <w:sz w:val="20"/>
                <w:szCs w:val="20"/>
              </w:rPr>
            </w:pPr>
          </w:p>
        </w:tc>
        <w:tc>
          <w:tcPr>
            <w:tcW w:w="1080" w:type="dxa"/>
            <w:tcBorders>
              <w:top w:val="single" w:sz="6" w:space="0" w:color="auto"/>
              <w:left w:val="nil"/>
              <w:bottom w:val="single" w:sz="6" w:space="0" w:color="auto"/>
              <w:right w:val="nil"/>
            </w:tcBorders>
            <w:noWrap/>
            <w:tcMar>
              <w:top w:w="15" w:type="dxa"/>
              <w:left w:w="15" w:type="dxa"/>
              <w:bottom w:w="0" w:type="dxa"/>
              <w:right w:w="15" w:type="dxa"/>
            </w:tcMar>
            <w:vAlign w:val="center"/>
          </w:tcPr>
          <w:p w:rsidR="000E0EE9" w:rsidRDefault="000E0EE9">
            <w:pPr>
              <w:jc w:val="center"/>
              <w:rPr>
                <w:sz w:val="20"/>
                <w:szCs w:val="20"/>
              </w:rPr>
            </w:pPr>
          </w:p>
        </w:tc>
        <w:tc>
          <w:tcPr>
            <w:tcW w:w="1440" w:type="dxa"/>
            <w:tcBorders>
              <w:top w:val="single" w:sz="6" w:space="0" w:color="auto"/>
              <w:left w:val="nil"/>
              <w:bottom w:val="single" w:sz="6" w:space="0" w:color="auto"/>
              <w:right w:val="nil"/>
            </w:tcBorders>
            <w:vAlign w:val="center"/>
          </w:tcPr>
          <w:p w:rsidR="000E0EE9" w:rsidRPr="001E5000" w:rsidRDefault="000E0EE9">
            <w:pPr>
              <w:jc w:val="center"/>
              <w:rPr>
                <w:rFonts w:eastAsia="Arial Unicode MS"/>
                <w:sz w:val="18"/>
                <w:szCs w:val="18"/>
              </w:rPr>
            </w:pPr>
            <w:r w:rsidRPr="001E5000">
              <w:rPr>
                <w:rFonts w:eastAsia="Arial Unicode MS"/>
                <w:sz w:val="18"/>
                <w:szCs w:val="18"/>
              </w:rPr>
              <w:t>Terrazas con elementos promocionales</w:t>
            </w:r>
          </w:p>
        </w:tc>
        <w:tc>
          <w:tcPr>
            <w:tcW w:w="1440" w:type="dxa"/>
            <w:tcBorders>
              <w:top w:val="single" w:sz="6" w:space="0" w:color="auto"/>
              <w:left w:val="nil"/>
              <w:bottom w:val="single" w:sz="6" w:space="0" w:color="auto"/>
              <w:right w:val="nil"/>
            </w:tcBorders>
            <w:noWrap/>
            <w:tcMar>
              <w:top w:w="15" w:type="dxa"/>
              <w:left w:w="15" w:type="dxa"/>
              <w:bottom w:w="0" w:type="dxa"/>
              <w:right w:w="15" w:type="dxa"/>
            </w:tcMar>
            <w:vAlign w:val="center"/>
          </w:tcPr>
          <w:p w:rsidR="000E0EE9" w:rsidRPr="001E5000" w:rsidRDefault="000E0EE9">
            <w:pPr>
              <w:jc w:val="center"/>
              <w:rPr>
                <w:rFonts w:eastAsia="Arial Unicode MS"/>
                <w:sz w:val="18"/>
                <w:szCs w:val="18"/>
              </w:rPr>
            </w:pPr>
            <w:r w:rsidRPr="001E5000">
              <w:rPr>
                <w:rFonts w:eastAsia="Arial Unicode MS"/>
                <w:sz w:val="18"/>
                <w:szCs w:val="18"/>
              </w:rPr>
              <w:t>Otros elementos promocionales</w:t>
            </w:r>
          </w:p>
        </w:tc>
        <w:tc>
          <w:tcPr>
            <w:tcW w:w="1260" w:type="dxa"/>
            <w:tcBorders>
              <w:top w:val="single" w:sz="6" w:space="0" w:color="auto"/>
              <w:left w:val="nil"/>
              <w:bottom w:val="single" w:sz="6" w:space="0" w:color="auto"/>
              <w:right w:val="nil"/>
            </w:tcBorders>
          </w:tcPr>
          <w:p w:rsidR="000E0EE9" w:rsidRPr="001E5000" w:rsidRDefault="000E0EE9">
            <w:pPr>
              <w:jc w:val="center"/>
              <w:rPr>
                <w:sz w:val="18"/>
                <w:szCs w:val="18"/>
              </w:rPr>
            </w:pPr>
            <w:r w:rsidRPr="001E5000">
              <w:rPr>
                <w:sz w:val="18"/>
                <w:szCs w:val="18"/>
              </w:rPr>
              <w:t>Total locales de consumo</w:t>
            </w:r>
          </w:p>
        </w:tc>
        <w:tc>
          <w:tcPr>
            <w:tcW w:w="1260" w:type="dxa"/>
            <w:tcBorders>
              <w:top w:val="single" w:sz="6" w:space="0" w:color="auto"/>
              <w:left w:val="nil"/>
              <w:bottom w:val="single" w:sz="6" w:space="0" w:color="auto"/>
              <w:right w:val="nil"/>
            </w:tcBorders>
          </w:tcPr>
          <w:p w:rsidR="000E0EE9" w:rsidRPr="001E5000" w:rsidRDefault="000E0EE9">
            <w:pPr>
              <w:jc w:val="center"/>
              <w:rPr>
                <w:sz w:val="18"/>
                <w:szCs w:val="18"/>
              </w:rPr>
            </w:pPr>
            <w:r w:rsidRPr="001E5000">
              <w:rPr>
                <w:sz w:val="18"/>
                <w:szCs w:val="18"/>
              </w:rPr>
              <w:t>Elementos en locales</w:t>
            </w:r>
          </w:p>
        </w:tc>
        <w:tc>
          <w:tcPr>
            <w:tcW w:w="1440" w:type="dxa"/>
            <w:tcBorders>
              <w:top w:val="single" w:sz="6" w:space="0" w:color="auto"/>
              <w:left w:val="nil"/>
              <w:bottom w:val="single" w:sz="6" w:space="0" w:color="auto"/>
              <w:right w:val="nil"/>
            </w:tcBorders>
            <w:vAlign w:val="center"/>
          </w:tcPr>
          <w:p w:rsidR="000E0EE9" w:rsidRPr="001E5000" w:rsidRDefault="000E0EE9">
            <w:pPr>
              <w:jc w:val="center"/>
              <w:rPr>
                <w:sz w:val="18"/>
                <w:szCs w:val="18"/>
              </w:rPr>
            </w:pPr>
            <w:r w:rsidRPr="001E5000">
              <w:rPr>
                <w:sz w:val="18"/>
                <w:szCs w:val="18"/>
              </w:rPr>
              <w:t>Total locales de venta</w:t>
            </w:r>
          </w:p>
        </w:tc>
        <w:tc>
          <w:tcPr>
            <w:tcW w:w="1440" w:type="dxa"/>
            <w:tcBorders>
              <w:top w:val="single" w:sz="6" w:space="0" w:color="auto"/>
              <w:left w:val="nil"/>
              <w:bottom w:val="single" w:sz="6" w:space="0" w:color="auto"/>
              <w:right w:val="nil"/>
            </w:tcBorders>
            <w:vAlign w:val="center"/>
          </w:tcPr>
          <w:p w:rsidR="000E0EE9" w:rsidRPr="001E5000" w:rsidRDefault="000E0EE9">
            <w:pPr>
              <w:jc w:val="center"/>
              <w:rPr>
                <w:sz w:val="18"/>
                <w:szCs w:val="18"/>
              </w:rPr>
            </w:pPr>
            <w:r w:rsidRPr="001E5000">
              <w:rPr>
                <w:sz w:val="18"/>
                <w:szCs w:val="18"/>
              </w:rPr>
              <w:t>Elementos</w:t>
            </w:r>
          </w:p>
        </w:tc>
        <w:tc>
          <w:tcPr>
            <w:tcW w:w="900" w:type="dxa"/>
            <w:tcBorders>
              <w:top w:val="single" w:sz="6" w:space="0" w:color="auto"/>
              <w:left w:val="nil"/>
              <w:bottom w:val="single" w:sz="6" w:space="0" w:color="auto"/>
              <w:right w:val="nil"/>
            </w:tcBorders>
            <w:vAlign w:val="center"/>
          </w:tcPr>
          <w:p w:rsidR="000E0EE9" w:rsidRPr="001E5000" w:rsidRDefault="000E0EE9">
            <w:pPr>
              <w:jc w:val="center"/>
              <w:rPr>
                <w:sz w:val="18"/>
                <w:szCs w:val="18"/>
              </w:rPr>
            </w:pPr>
            <w:r w:rsidRPr="001E5000">
              <w:rPr>
                <w:sz w:val="18"/>
                <w:szCs w:val="18"/>
              </w:rPr>
              <w:t>%</w:t>
            </w:r>
          </w:p>
        </w:tc>
      </w:tr>
      <w:tr w:rsidR="000E0EE9">
        <w:trPr>
          <w:trHeight w:val="454"/>
        </w:trPr>
        <w:tc>
          <w:tcPr>
            <w:tcW w:w="1620" w:type="dxa"/>
            <w:tcBorders>
              <w:top w:val="single" w:sz="6" w:space="0" w:color="auto"/>
              <w:left w:val="nil"/>
              <w:bottom w:val="nil"/>
              <w:right w:val="nil"/>
            </w:tcBorders>
            <w:vAlign w:val="center"/>
          </w:tcPr>
          <w:p w:rsidR="000E0EE9" w:rsidRDefault="000E0EE9">
            <w:pPr>
              <w:rPr>
                <w:sz w:val="20"/>
                <w:szCs w:val="20"/>
                <w:lang w:val="ca-ES"/>
              </w:rPr>
            </w:pPr>
            <w:r>
              <w:rPr>
                <w:sz w:val="20"/>
                <w:szCs w:val="20"/>
                <w:lang w:val="ca-ES"/>
              </w:rPr>
              <w:t>Ciutat Vella</w:t>
            </w:r>
          </w:p>
        </w:tc>
        <w:tc>
          <w:tcPr>
            <w:tcW w:w="1080" w:type="dxa"/>
            <w:tcBorders>
              <w:top w:val="single" w:sz="6" w:space="0" w:color="auto"/>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13</w:t>
            </w:r>
          </w:p>
        </w:tc>
        <w:tc>
          <w:tcPr>
            <w:tcW w:w="144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8</w:t>
            </w:r>
          </w:p>
        </w:tc>
        <w:tc>
          <w:tcPr>
            <w:tcW w:w="1440" w:type="dxa"/>
            <w:tcBorders>
              <w:top w:val="single" w:sz="6" w:space="0" w:color="auto"/>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18</w:t>
            </w:r>
          </w:p>
        </w:tc>
        <w:tc>
          <w:tcPr>
            <w:tcW w:w="1260"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49</w:t>
            </w:r>
          </w:p>
        </w:tc>
        <w:tc>
          <w:tcPr>
            <w:tcW w:w="1260"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12</w:t>
            </w:r>
          </w:p>
        </w:tc>
        <w:tc>
          <w:tcPr>
            <w:tcW w:w="144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75</w:t>
            </w:r>
          </w:p>
        </w:tc>
        <w:tc>
          <w:tcPr>
            <w:tcW w:w="144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51</w:t>
            </w:r>
          </w:p>
        </w:tc>
        <w:tc>
          <w:tcPr>
            <w:tcW w:w="90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19,8%</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Eixample</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26</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14</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15</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60</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10</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76</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65</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25,2%</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Sants- Montjuïc</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2</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7</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10</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11</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4,3%</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Les Corts</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13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4</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6</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17</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6</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24</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29</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11,2%</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 xml:space="preserve">Sarrià- </w:t>
            </w:r>
            <w:proofErr w:type="spellStart"/>
            <w:r>
              <w:rPr>
                <w:sz w:val="20"/>
                <w:szCs w:val="20"/>
                <w:lang w:val="ca-ES"/>
              </w:rPr>
              <w:t>St</w:t>
            </w:r>
            <w:proofErr w:type="spellEnd"/>
            <w:r>
              <w:rPr>
                <w:sz w:val="20"/>
                <w:szCs w:val="20"/>
                <w:lang w:val="ca-ES"/>
              </w:rPr>
              <w:t xml:space="preserve"> Gervasi</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1</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2</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4</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12</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9</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21</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16</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6,2%</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Gràcia</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4</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0</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13</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8</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25</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15</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5,8%</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 xml:space="preserve">Horta- </w:t>
            </w:r>
            <w:proofErr w:type="spellStart"/>
            <w:r>
              <w:rPr>
                <w:sz w:val="20"/>
                <w:szCs w:val="20"/>
                <w:lang w:val="ca-ES"/>
              </w:rPr>
              <w:t>Guinardó</w:t>
            </w:r>
            <w:proofErr w:type="spellEnd"/>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4</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1</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12</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9</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21</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17</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6,6%</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Nou Barris</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5</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5</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9</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5</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15</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18</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7,0%</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Sant Andreu</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4</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5</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4</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14</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8</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22</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21</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8,1%</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Sant Martí</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2</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6</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3</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12</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4</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17</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15</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5,8%</w:t>
            </w:r>
          </w:p>
        </w:tc>
      </w:tr>
      <w:tr w:rsidR="000E0EE9">
        <w:trPr>
          <w:trHeight w:val="454"/>
        </w:trPr>
        <w:tc>
          <w:tcPr>
            <w:tcW w:w="1620" w:type="dxa"/>
            <w:tcBorders>
              <w:top w:val="nil"/>
              <w:left w:val="nil"/>
              <w:bottom w:val="single" w:sz="12" w:space="0" w:color="auto"/>
              <w:right w:val="nil"/>
            </w:tcBorders>
            <w:vAlign w:val="center"/>
          </w:tcPr>
          <w:p w:rsidR="000E0EE9" w:rsidRDefault="000E0EE9">
            <w:pPr>
              <w:rPr>
                <w:sz w:val="20"/>
                <w:szCs w:val="20"/>
              </w:rPr>
            </w:pPr>
            <w:r>
              <w:rPr>
                <w:sz w:val="20"/>
                <w:szCs w:val="20"/>
              </w:rPr>
              <w:t>Barcelona</w:t>
            </w:r>
          </w:p>
        </w:tc>
        <w:tc>
          <w:tcPr>
            <w:tcW w:w="1080" w:type="dxa"/>
            <w:tcBorders>
              <w:top w:val="nil"/>
              <w:left w:val="nil"/>
              <w:bottom w:val="single" w:sz="12" w:space="0" w:color="auto"/>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72</w:t>
            </w:r>
          </w:p>
        </w:tc>
        <w:tc>
          <w:tcPr>
            <w:tcW w:w="144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rFonts w:eastAsia="Arial Unicode MS"/>
                <w:sz w:val="20"/>
                <w:szCs w:val="20"/>
              </w:rPr>
              <w:t>54</w:t>
            </w:r>
          </w:p>
        </w:tc>
        <w:tc>
          <w:tcPr>
            <w:tcW w:w="1440" w:type="dxa"/>
            <w:tcBorders>
              <w:top w:val="nil"/>
              <w:left w:val="nil"/>
              <w:bottom w:val="single" w:sz="12" w:space="0" w:color="auto"/>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58</w:t>
            </w:r>
          </w:p>
        </w:tc>
        <w:tc>
          <w:tcPr>
            <w:tcW w:w="1260"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205</w:t>
            </w:r>
          </w:p>
        </w:tc>
        <w:tc>
          <w:tcPr>
            <w:tcW w:w="1260"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74</w:t>
            </w:r>
          </w:p>
        </w:tc>
        <w:tc>
          <w:tcPr>
            <w:tcW w:w="144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sz w:val="20"/>
                <w:szCs w:val="20"/>
              </w:rPr>
              <w:t>306</w:t>
            </w:r>
          </w:p>
        </w:tc>
        <w:tc>
          <w:tcPr>
            <w:tcW w:w="144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sz w:val="20"/>
                <w:szCs w:val="20"/>
              </w:rPr>
              <w:t>258</w:t>
            </w:r>
          </w:p>
        </w:tc>
        <w:tc>
          <w:tcPr>
            <w:tcW w:w="90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sz w:val="20"/>
                <w:szCs w:val="20"/>
              </w:rPr>
              <w:t>100%</w:t>
            </w:r>
          </w:p>
        </w:tc>
      </w:tr>
    </w:tbl>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r>
        <w:t>(1). Incluye publicidad directa, indirecta y patrocinio.</w:t>
      </w:r>
    </w:p>
    <w:p w:rsidR="000E0EE9" w:rsidRDefault="000E0EE9">
      <w:r>
        <w:br w:type="page"/>
      </w:r>
      <w:r>
        <w:rPr>
          <w:b/>
          <w:bCs/>
        </w:rPr>
        <w:lastRenderedPageBreak/>
        <w:t>Tabla 2</w:t>
      </w:r>
      <w:r>
        <w:t>. Distribución de las variables sintéticas (VS) relacionadas con la presencia del alcohol en el espacio público analizadas por distrito. Barcelona, 2015.</w:t>
      </w:r>
    </w:p>
    <w:tbl>
      <w:tblPr>
        <w:tblpPr w:leftFromText="141" w:rightFromText="141" w:vertAnchor="text" w:horzAnchor="margin" w:tblpY="170"/>
        <w:tblW w:w="12841" w:type="dxa"/>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1980"/>
        <w:gridCol w:w="2634"/>
        <w:gridCol w:w="2137"/>
        <w:gridCol w:w="1321"/>
        <w:gridCol w:w="1483"/>
        <w:gridCol w:w="1425"/>
        <w:gridCol w:w="1861"/>
      </w:tblGrid>
      <w:tr w:rsidR="000E0EE9">
        <w:trPr>
          <w:trHeight w:val="390"/>
        </w:trPr>
        <w:tc>
          <w:tcPr>
            <w:tcW w:w="1980" w:type="dxa"/>
            <w:tcBorders>
              <w:top w:val="single" w:sz="12" w:space="0" w:color="auto"/>
              <w:left w:val="nil"/>
              <w:bottom w:val="single" w:sz="6" w:space="0" w:color="auto"/>
              <w:right w:val="nil"/>
            </w:tcBorders>
            <w:vAlign w:val="center"/>
          </w:tcPr>
          <w:p w:rsidR="000E0EE9" w:rsidRDefault="000E0EE9">
            <w:pPr>
              <w:rPr>
                <w:b/>
                <w:bCs/>
                <w:color w:val="auto"/>
                <w:sz w:val="20"/>
                <w:szCs w:val="20"/>
              </w:rPr>
            </w:pPr>
            <w:r>
              <w:rPr>
                <w:b/>
                <w:bCs/>
                <w:color w:val="auto"/>
                <w:sz w:val="20"/>
                <w:szCs w:val="20"/>
              </w:rPr>
              <w:t>Distrito</w:t>
            </w:r>
          </w:p>
        </w:tc>
        <w:tc>
          <w:tcPr>
            <w:tcW w:w="2634" w:type="dxa"/>
            <w:tcBorders>
              <w:top w:val="single" w:sz="12" w:space="0" w:color="auto"/>
              <w:left w:val="nil"/>
              <w:bottom w:val="single" w:sz="6" w:space="0" w:color="auto"/>
              <w:right w:val="nil"/>
            </w:tcBorders>
            <w:vAlign w:val="center"/>
          </w:tcPr>
          <w:p w:rsidR="000E0EE9" w:rsidRDefault="000E0EE9">
            <w:pPr>
              <w:jc w:val="center"/>
              <w:rPr>
                <w:b/>
                <w:bCs/>
                <w:color w:val="auto"/>
                <w:sz w:val="20"/>
                <w:szCs w:val="20"/>
              </w:rPr>
            </w:pPr>
            <w:r>
              <w:rPr>
                <w:b/>
                <w:bCs/>
                <w:color w:val="auto"/>
                <w:sz w:val="20"/>
                <w:szCs w:val="20"/>
              </w:rPr>
              <w:t xml:space="preserve">Establecimientos </w:t>
            </w:r>
          </w:p>
          <w:p w:rsidR="000E0EE9" w:rsidRDefault="000E0EE9">
            <w:pPr>
              <w:jc w:val="center"/>
              <w:rPr>
                <w:b/>
                <w:bCs/>
                <w:color w:val="auto"/>
                <w:sz w:val="20"/>
                <w:szCs w:val="20"/>
              </w:rPr>
            </w:pPr>
            <w:r>
              <w:rPr>
                <w:b/>
                <w:bCs/>
                <w:color w:val="auto"/>
                <w:sz w:val="20"/>
                <w:szCs w:val="20"/>
              </w:rPr>
              <w:t>que ofrecen bebidas</w:t>
            </w:r>
          </w:p>
          <w:p w:rsidR="000E0EE9" w:rsidRDefault="000E0EE9">
            <w:pPr>
              <w:jc w:val="center"/>
              <w:rPr>
                <w:b/>
                <w:bCs/>
                <w:color w:val="auto"/>
                <w:sz w:val="20"/>
                <w:szCs w:val="20"/>
              </w:rPr>
            </w:pPr>
            <w:r>
              <w:rPr>
                <w:b/>
                <w:bCs/>
                <w:color w:val="auto"/>
                <w:sz w:val="20"/>
                <w:szCs w:val="20"/>
              </w:rPr>
              <w:t>(VS1)</w:t>
            </w:r>
          </w:p>
        </w:tc>
        <w:tc>
          <w:tcPr>
            <w:tcW w:w="2137" w:type="dxa"/>
            <w:tcBorders>
              <w:top w:val="single" w:sz="12" w:space="0" w:color="auto"/>
              <w:left w:val="nil"/>
              <w:bottom w:val="single" w:sz="6" w:space="0" w:color="auto"/>
              <w:right w:val="nil"/>
            </w:tcBorders>
            <w:vAlign w:val="center"/>
          </w:tcPr>
          <w:p w:rsidR="000E0EE9" w:rsidRDefault="000E0EE9">
            <w:pPr>
              <w:jc w:val="center"/>
              <w:rPr>
                <w:b/>
                <w:bCs/>
                <w:color w:val="auto"/>
                <w:sz w:val="20"/>
                <w:szCs w:val="20"/>
              </w:rPr>
            </w:pPr>
            <w:r>
              <w:rPr>
                <w:b/>
                <w:bCs/>
                <w:color w:val="auto"/>
                <w:sz w:val="20"/>
                <w:szCs w:val="20"/>
              </w:rPr>
              <w:t xml:space="preserve">Elementos </w:t>
            </w:r>
          </w:p>
          <w:p w:rsidR="000E0EE9" w:rsidRDefault="000E0EE9">
            <w:pPr>
              <w:jc w:val="center"/>
              <w:rPr>
                <w:b/>
                <w:bCs/>
                <w:color w:val="auto"/>
                <w:sz w:val="20"/>
                <w:szCs w:val="20"/>
              </w:rPr>
            </w:pPr>
            <w:r>
              <w:rPr>
                <w:b/>
                <w:bCs/>
                <w:color w:val="auto"/>
                <w:sz w:val="20"/>
                <w:szCs w:val="20"/>
              </w:rPr>
              <w:t>Promocionales</w:t>
            </w:r>
          </w:p>
          <w:p w:rsidR="000E0EE9" w:rsidRDefault="000E0EE9">
            <w:pPr>
              <w:jc w:val="center"/>
              <w:rPr>
                <w:b/>
                <w:bCs/>
                <w:color w:val="auto"/>
                <w:sz w:val="20"/>
                <w:szCs w:val="20"/>
              </w:rPr>
            </w:pPr>
            <w:r>
              <w:rPr>
                <w:b/>
                <w:bCs/>
                <w:color w:val="auto"/>
                <w:sz w:val="20"/>
                <w:szCs w:val="20"/>
              </w:rPr>
              <w:t>(VS2)</w:t>
            </w:r>
          </w:p>
        </w:tc>
        <w:tc>
          <w:tcPr>
            <w:tcW w:w="1321" w:type="dxa"/>
            <w:tcBorders>
              <w:top w:val="single" w:sz="12" w:space="0" w:color="auto"/>
              <w:left w:val="nil"/>
              <w:bottom w:val="single" w:sz="6" w:space="0" w:color="auto"/>
              <w:right w:val="nil"/>
            </w:tcBorders>
            <w:vAlign w:val="center"/>
          </w:tcPr>
          <w:p w:rsidR="000E0EE9" w:rsidRDefault="000E0EE9">
            <w:pPr>
              <w:jc w:val="center"/>
              <w:rPr>
                <w:b/>
                <w:bCs/>
                <w:color w:val="auto"/>
                <w:sz w:val="20"/>
                <w:szCs w:val="20"/>
              </w:rPr>
            </w:pPr>
            <w:r>
              <w:rPr>
                <w:b/>
                <w:bCs/>
                <w:color w:val="auto"/>
                <w:sz w:val="20"/>
                <w:szCs w:val="20"/>
              </w:rPr>
              <w:t>Total estímulos</w:t>
            </w:r>
          </w:p>
          <w:p w:rsidR="000E0EE9" w:rsidRDefault="000E0EE9">
            <w:pPr>
              <w:jc w:val="center"/>
              <w:rPr>
                <w:b/>
                <w:bCs/>
                <w:color w:val="auto"/>
                <w:sz w:val="20"/>
                <w:szCs w:val="20"/>
              </w:rPr>
            </w:pPr>
            <w:r>
              <w:rPr>
                <w:b/>
                <w:bCs/>
                <w:color w:val="auto"/>
                <w:sz w:val="20"/>
                <w:szCs w:val="20"/>
              </w:rPr>
              <w:t>(VS3)</w:t>
            </w:r>
          </w:p>
        </w:tc>
        <w:tc>
          <w:tcPr>
            <w:tcW w:w="1483" w:type="dxa"/>
            <w:tcBorders>
              <w:top w:val="single" w:sz="12" w:space="0" w:color="auto"/>
              <w:left w:val="nil"/>
              <w:bottom w:val="single" w:sz="6" w:space="0" w:color="auto"/>
              <w:right w:val="nil"/>
            </w:tcBorders>
          </w:tcPr>
          <w:p w:rsidR="000E0EE9" w:rsidRDefault="000E0EE9">
            <w:pPr>
              <w:jc w:val="center"/>
              <w:rPr>
                <w:b/>
                <w:bCs/>
                <w:color w:val="auto"/>
                <w:sz w:val="20"/>
                <w:szCs w:val="20"/>
              </w:rPr>
            </w:pPr>
            <w:r>
              <w:rPr>
                <w:b/>
                <w:bCs/>
                <w:color w:val="auto"/>
                <w:sz w:val="20"/>
                <w:szCs w:val="20"/>
              </w:rPr>
              <w:t>Estímulos / 1000 hab.</w:t>
            </w:r>
          </w:p>
        </w:tc>
        <w:tc>
          <w:tcPr>
            <w:tcW w:w="1425" w:type="dxa"/>
            <w:tcBorders>
              <w:top w:val="single" w:sz="12" w:space="0" w:color="auto"/>
              <w:left w:val="nil"/>
              <w:bottom w:val="single" w:sz="6" w:space="0" w:color="auto"/>
              <w:right w:val="nil"/>
            </w:tcBorders>
          </w:tcPr>
          <w:p w:rsidR="000E0EE9" w:rsidRDefault="000E0EE9">
            <w:pPr>
              <w:jc w:val="center"/>
              <w:rPr>
                <w:b/>
                <w:bCs/>
                <w:color w:val="auto"/>
                <w:sz w:val="20"/>
                <w:szCs w:val="20"/>
              </w:rPr>
            </w:pPr>
            <w:r>
              <w:rPr>
                <w:b/>
                <w:bCs/>
                <w:color w:val="auto"/>
                <w:sz w:val="20"/>
                <w:szCs w:val="20"/>
              </w:rPr>
              <w:t xml:space="preserve">Indicios de </w:t>
            </w:r>
          </w:p>
          <w:p w:rsidR="000E0EE9" w:rsidRDefault="000E0EE9">
            <w:pPr>
              <w:jc w:val="center"/>
              <w:rPr>
                <w:b/>
                <w:bCs/>
                <w:color w:val="auto"/>
                <w:sz w:val="20"/>
                <w:szCs w:val="20"/>
              </w:rPr>
            </w:pPr>
            <w:r>
              <w:rPr>
                <w:b/>
                <w:bCs/>
                <w:color w:val="auto"/>
                <w:sz w:val="20"/>
                <w:szCs w:val="20"/>
              </w:rPr>
              <w:t>Consumo</w:t>
            </w:r>
          </w:p>
          <w:p w:rsidR="000E0EE9" w:rsidRDefault="000E0EE9">
            <w:pPr>
              <w:jc w:val="center"/>
              <w:rPr>
                <w:b/>
                <w:bCs/>
                <w:color w:val="auto"/>
                <w:sz w:val="20"/>
                <w:szCs w:val="20"/>
              </w:rPr>
            </w:pPr>
            <w:r>
              <w:rPr>
                <w:b/>
                <w:bCs/>
                <w:color w:val="auto"/>
                <w:sz w:val="20"/>
                <w:szCs w:val="20"/>
              </w:rPr>
              <w:t>(VS4)</w:t>
            </w:r>
          </w:p>
        </w:tc>
        <w:tc>
          <w:tcPr>
            <w:tcW w:w="1861" w:type="dxa"/>
            <w:tcBorders>
              <w:top w:val="single" w:sz="12" w:space="0" w:color="auto"/>
              <w:left w:val="nil"/>
              <w:bottom w:val="single" w:sz="6" w:space="0" w:color="auto"/>
              <w:right w:val="nil"/>
            </w:tcBorders>
          </w:tcPr>
          <w:p w:rsidR="000E0EE9" w:rsidRDefault="000E0EE9">
            <w:pPr>
              <w:jc w:val="center"/>
              <w:rPr>
                <w:b/>
                <w:bCs/>
                <w:color w:val="auto"/>
                <w:sz w:val="20"/>
                <w:szCs w:val="20"/>
              </w:rPr>
            </w:pPr>
            <w:r>
              <w:rPr>
                <w:b/>
                <w:bCs/>
                <w:color w:val="auto"/>
                <w:sz w:val="20"/>
                <w:szCs w:val="20"/>
              </w:rPr>
              <w:t>Indicios de consumo/</w:t>
            </w:r>
          </w:p>
          <w:p w:rsidR="000E0EE9" w:rsidRDefault="000E0EE9">
            <w:pPr>
              <w:jc w:val="center"/>
              <w:rPr>
                <w:b/>
                <w:bCs/>
                <w:color w:val="auto"/>
                <w:sz w:val="20"/>
                <w:szCs w:val="20"/>
              </w:rPr>
            </w:pPr>
            <w:r>
              <w:rPr>
                <w:b/>
                <w:bCs/>
                <w:color w:val="auto"/>
                <w:sz w:val="20"/>
                <w:szCs w:val="20"/>
              </w:rPr>
              <w:t xml:space="preserve">1000 </w:t>
            </w:r>
            <w:proofErr w:type="spellStart"/>
            <w:r>
              <w:rPr>
                <w:b/>
                <w:bCs/>
                <w:color w:val="auto"/>
                <w:sz w:val="20"/>
                <w:szCs w:val="20"/>
              </w:rPr>
              <w:t>hab</w:t>
            </w:r>
            <w:proofErr w:type="spellEnd"/>
          </w:p>
        </w:tc>
      </w:tr>
      <w:tr w:rsidR="000E0EE9">
        <w:trPr>
          <w:trHeight w:val="454"/>
        </w:trPr>
        <w:tc>
          <w:tcPr>
            <w:tcW w:w="1980" w:type="dxa"/>
            <w:tcBorders>
              <w:top w:val="single" w:sz="6" w:space="0" w:color="auto"/>
              <w:left w:val="nil"/>
              <w:bottom w:val="nil"/>
              <w:right w:val="nil"/>
            </w:tcBorders>
            <w:vAlign w:val="center"/>
          </w:tcPr>
          <w:p w:rsidR="000E0EE9" w:rsidRDefault="000E0EE9">
            <w:pPr>
              <w:rPr>
                <w:color w:val="auto"/>
                <w:sz w:val="20"/>
                <w:szCs w:val="20"/>
                <w:lang w:val="ca-ES"/>
              </w:rPr>
            </w:pPr>
            <w:r>
              <w:rPr>
                <w:color w:val="auto"/>
                <w:sz w:val="20"/>
                <w:szCs w:val="20"/>
                <w:lang w:val="ca-ES"/>
              </w:rPr>
              <w:t>Ciutat Vella</w:t>
            </w:r>
          </w:p>
        </w:tc>
        <w:tc>
          <w:tcPr>
            <w:tcW w:w="2634" w:type="dxa"/>
            <w:tcBorders>
              <w:top w:val="single" w:sz="6" w:space="0" w:color="auto"/>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75</w:t>
            </w:r>
          </w:p>
        </w:tc>
        <w:tc>
          <w:tcPr>
            <w:tcW w:w="2137" w:type="dxa"/>
            <w:tcBorders>
              <w:top w:val="single" w:sz="6" w:space="0" w:color="auto"/>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51</w:t>
            </w:r>
          </w:p>
        </w:tc>
        <w:tc>
          <w:tcPr>
            <w:tcW w:w="1321" w:type="dxa"/>
            <w:tcBorders>
              <w:top w:val="single" w:sz="6" w:space="0" w:color="auto"/>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126</w:t>
            </w:r>
          </w:p>
        </w:tc>
        <w:tc>
          <w:tcPr>
            <w:tcW w:w="1483"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39,37</w:t>
            </w:r>
          </w:p>
        </w:tc>
        <w:tc>
          <w:tcPr>
            <w:tcW w:w="1425" w:type="dxa"/>
            <w:tcBorders>
              <w:top w:val="single" w:sz="6" w:space="0" w:color="auto"/>
              <w:left w:val="nil"/>
              <w:bottom w:val="nil"/>
              <w:right w:val="nil"/>
            </w:tcBorders>
            <w:vAlign w:val="center"/>
          </w:tcPr>
          <w:p w:rsidR="000E0EE9" w:rsidRDefault="000E0EE9">
            <w:pPr>
              <w:jc w:val="center"/>
              <w:rPr>
                <w:color w:val="auto"/>
                <w:sz w:val="20"/>
                <w:szCs w:val="20"/>
                <w:lang w:val="en-US"/>
              </w:rPr>
            </w:pPr>
            <w:r>
              <w:rPr>
                <w:sz w:val="20"/>
                <w:szCs w:val="20"/>
                <w:lang w:val="en-US"/>
              </w:rPr>
              <w:t>50</w:t>
            </w:r>
          </w:p>
        </w:tc>
        <w:tc>
          <w:tcPr>
            <w:tcW w:w="1861"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15,63</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Eixample</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76</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65</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141</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44,06</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0,313</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Sants- Montjuïc</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10</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11</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21</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6,56</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15</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4,69</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Les Corts</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24</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29</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53</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16,56</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15</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4,69</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 xml:space="preserve">Sarrià- </w:t>
            </w:r>
            <w:proofErr w:type="spellStart"/>
            <w:r>
              <w:rPr>
                <w:color w:val="auto"/>
                <w:sz w:val="20"/>
                <w:szCs w:val="20"/>
                <w:lang w:val="ca-ES"/>
              </w:rPr>
              <w:t>St</w:t>
            </w:r>
            <w:proofErr w:type="spellEnd"/>
            <w:r>
              <w:rPr>
                <w:color w:val="auto"/>
                <w:sz w:val="20"/>
                <w:szCs w:val="20"/>
                <w:lang w:val="ca-ES"/>
              </w:rPr>
              <w:t xml:space="preserve"> Gervasi</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s-ES_tradnl"/>
              </w:rPr>
            </w:pPr>
            <w:r>
              <w:rPr>
                <w:sz w:val="20"/>
                <w:szCs w:val="20"/>
              </w:rPr>
              <w:t>21</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16</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37</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11,56</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0</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0</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Gràcia</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25</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15</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40</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12,5</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9</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2,81</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 xml:space="preserve">Horta- </w:t>
            </w:r>
            <w:proofErr w:type="spellStart"/>
            <w:r>
              <w:rPr>
                <w:color w:val="auto"/>
                <w:sz w:val="20"/>
                <w:szCs w:val="20"/>
                <w:lang w:val="ca-ES"/>
              </w:rPr>
              <w:t>Guinardó</w:t>
            </w:r>
            <w:proofErr w:type="spellEnd"/>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21</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17</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38</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11,87</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5</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1,56</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Nou Barris</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15</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18</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33</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10,31</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18</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5,62</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Sant Andreu</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22</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21</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43</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13,44</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11</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3,44</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Sant Martí</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17</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15</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32</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10</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14</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4,37</w:t>
            </w:r>
          </w:p>
        </w:tc>
      </w:tr>
      <w:tr w:rsidR="000E0EE9">
        <w:trPr>
          <w:trHeight w:val="454"/>
        </w:trPr>
        <w:tc>
          <w:tcPr>
            <w:tcW w:w="1980" w:type="dxa"/>
            <w:tcBorders>
              <w:top w:val="nil"/>
              <w:left w:val="nil"/>
              <w:bottom w:val="single" w:sz="12" w:space="0" w:color="auto"/>
              <w:right w:val="nil"/>
            </w:tcBorders>
            <w:vAlign w:val="center"/>
          </w:tcPr>
          <w:p w:rsidR="000E0EE9" w:rsidRDefault="000E0EE9">
            <w:pPr>
              <w:rPr>
                <w:color w:val="auto"/>
                <w:sz w:val="20"/>
                <w:szCs w:val="20"/>
              </w:rPr>
            </w:pPr>
            <w:r>
              <w:rPr>
                <w:color w:val="auto"/>
                <w:sz w:val="20"/>
                <w:szCs w:val="20"/>
              </w:rPr>
              <w:t>Barcelona</w:t>
            </w:r>
          </w:p>
        </w:tc>
        <w:tc>
          <w:tcPr>
            <w:tcW w:w="2634" w:type="dxa"/>
            <w:tcBorders>
              <w:top w:val="nil"/>
              <w:left w:val="nil"/>
              <w:bottom w:val="single" w:sz="12" w:space="0" w:color="auto"/>
              <w:right w:val="nil"/>
            </w:tcBorders>
            <w:vAlign w:val="center"/>
          </w:tcPr>
          <w:p w:rsidR="000E0EE9" w:rsidRDefault="000E0EE9">
            <w:pPr>
              <w:jc w:val="center"/>
              <w:rPr>
                <w:rFonts w:eastAsia="Arial Unicode MS"/>
                <w:color w:val="auto"/>
                <w:sz w:val="20"/>
                <w:szCs w:val="20"/>
              </w:rPr>
            </w:pPr>
            <w:r>
              <w:rPr>
                <w:sz w:val="20"/>
                <w:szCs w:val="20"/>
              </w:rPr>
              <w:t>306</w:t>
            </w:r>
          </w:p>
        </w:tc>
        <w:tc>
          <w:tcPr>
            <w:tcW w:w="2137" w:type="dxa"/>
            <w:tcBorders>
              <w:top w:val="nil"/>
              <w:left w:val="nil"/>
              <w:bottom w:val="single" w:sz="12" w:space="0" w:color="auto"/>
              <w:right w:val="nil"/>
            </w:tcBorders>
            <w:vAlign w:val="center"/>
          </w:tcPr>
          <w:p w:rsidR="000E0EE9" w:rsidRDefault="000E0EE9">
            <w:pPr>
              <w:jc w:val="center"/>
              <w:rPr>
                <w:rFonts w:eastAsia="Arial Unicode MS"/>
                <w:color w:val="auto"/>
                <w:sz w:val="20"/>
                <w:szCs w:val="20"/>
              </w:rPr>
            </w:pPr>
            <w:r>
              <w:rPr>
                <w:color w:val="auto"/>
                <w:sz w:val="20"/>
                <w:szCs w:val="20"/>
              </w:rPr>
              <w:t>258</w:t>
            </w:r>
          </w:p>
        </w:tc>
        <w:tc>
          <w:tcPr>
            <w:tcW w:w="1321" w:type="dxa"/>
            <w:tcBorders>
              <w:top w:val="nil"/>
              <w:left w:val="nil"/>
              <w:bottom w:val="single" w:sz="12" w:space="0" w:color="auto"/>
              <w:right w:val="nil"/>
            </w:tcBorders>
            <w:vAlign w:val="center"/>
          </w:tcPr>
          <w:p w:rsidR="000E0EE9" w:rsidRDefault="000E0EE9">
            <w:pPr>
              <w:jc w:val="center"/>
              <w:rPr>
                <w:rFonts w:eastAsia="Arial Unicode MS"/>
                <w:color w:val="auto"/>
                <w:sz w:val="20"/>
                <w:szCs w:val="20"/>
              </w:rPr>
            </w:pPr>
            <w:r>
              <w:rPr>
                <w:sz w:val="20"/>
                <w:szCs w:val="20"/>
              </w:rPr>
              <w:t>564</w:t>
            </w:r>
          </w:p>
        </w:tc>
        <w:tc>
          <w:tcPr>
            <w:tcW w:w="1483"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17,63</w:t>
            </w:r>
          </w:p>
        </w:tc>
        <w:tc>
          <w:tcPr>
            <w:tcW w:w="1425" w:type="dxa"/>
            <w:tcBorders>
              <w:top w:val="nil"/>
              <w:left w:val="nil"/>
              <w:bottom w:val="single" w:sz="12" w:space="0" w:color="auto"/>
              <w:right w:val="nil"/>
            </w:tcBorders>
            <w:vAlign w:val="center"/>
          </w:tcPr>
          <w:p w:rsidR="000E0EE9" w:rsidRDefault="000E0EE9">
            <w:pPr>
              <w:jc w:val="center"/>
              <w:rPr>
                <w:color w:val="auto"/>
                <w:sz w:val="20"/>
                <w:szCs w:val="20"/>
              </w:rPr>
            </w:pPr>
            <w:r>
              <w:rPr>
                <w:sz w:val="20"/>
                <w:szCs w:val="20"/>
              </w:rPr>
              <w:t>138</w:t>
            </w:r>
          </w:p>
        </w:tc>
        <w:tc>
          <w:tcPr>
            <w:tcW w:w="1861"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4,31</w:t>
            </w:r>
          </w:p>
        </w:tc>
      </w:tr>
    </w:tbl>
    <w:p w:rsidR="000E0EE9" w:rsidRDefault="000E0EE9">
      <w:pPr>
        <w:pStyle w:val="Piedepgina"/>
        <w:tabs>
          <w:tab w:val="clear" w:pos="4252"/>
          <w:tab w:val="clear" w:pos="8504"/>
        </w:tabs>
      </w:pPr>
    </w:p>
    <w:sectPr w:rsidR="000E0EE9" w:rsidSect="000E0EE9">
      <w:pgSz w:w="16838" w:h="11906"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3DD" w:rsidRDefault="000733DD">
      <w:r>
        <w:separator/>
      </w:r>
    </w:p>
  </w:endnote>
  <w:endnote w:type="continuationSeparator" w:id="0">
    <w:p w:rsidR="000733DD" w:rsidRDefault="0007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DD" w:rsidRDefault="000733DD">
    <w:pPr>
      <w:pStyle w:val="Piedepgina"/>
      <w:framePr w:wrap="auto" w:vAnchor="text" w:hAnchor="margin" w:xAlign="right"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7B3E99">
      <w:rPr>
        <w:rStyle w:val="Nmerodepgina"/>
        <w:rFonts w:ascii="Arial" w:hAnsi="Arial" w:cs="Arial"/>
        <w:noProof/>
      </w:rPr>
      <w:t>20</w:t>
    </w:r>
    <w:r>
      <w:rPr>
        <w:rStyle w:val="Nmerodepgina"/>
        <w:rFonts w:ascii="Arial" w:hAnsi="Arial" w:cs="Arial"/>
      </w:rPr>
      <w:fldChar w:fldCharType="end"/>
    </w:r>
  </w:p>
  <w:p w:rsidR="000733DD" w:rsidRDefault="000733D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3DD" w:rsidRDefault="000733DD">
      <w:r>
        <w:separator/>
      </w:r>
    </w:p>
  </w:footnote>
  <w:footnote w:type="continuationSeparator" w:id="0">
    <w:p w:rsidR="000733DD" w:rsidRDefault="00073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defaultTabStop w:val="708"/>
  <w:hyphenationZone w:val="425"/>
  <w:doNotHyphenateCaps/>
  <w:characterSpacingControl w:val="doNotCompress"/>
  <w:doNotValidateAgainstSchema/>
  <w:doNotDemarcateInvalidXml/>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E9"/>
    <w:rsid w:val="00001453"/>
    <w:rsid w:val="000733DD"/>
    <w:rsid w:val="00083725"/>
    <w:rsid w:val="000D5F06"/>
    <w:rsid w:val="000E0EE9"/>
    <w:rsid w:val="0013406B"/>
    <w:rsid w:val="00170685"/>
    <w:rsid w:val="001E5000"/>
    <w:rsid w:val="001F3628"/>
    <w:rsid w:val="00201140"/>
    <w:rsid w:val="002559BC"/>
    <w:rsid w:val="00264628"/>
    <w:rsid w:val="00274E54"/>
    <w:rsid w:val="00275044"/>
    <w:rsid w:val="00291E6C"/>
    <w:rsid w:val="002C0C64"/>
    <w:rsid w:val="002F4C98"/>
    <w:rsid w:val="003E1F80"/>
    <w:rsid w:val="003F3120"/>
    <w:rsid w:val="0043357A"/>
    <w:rsid w:val="00464402"/>
    <w:rsid w:val="005274DF"/>
    <w:rsid w:val="00547F38"/>
    <w:rsid w:val="005748D8"/>
    <w:rsid w:val="00591823"/>
    <w:rsid w:val="005C1343"/>
    <w:rsid w:val="005F3B07"/>
    <w:rsid w:val="006A7BF9"/>
    <w:rsid w:val="006C2FF2"/>
    <w:rsid w:val="00714E95"/>
    <w:rsid w:val="007A5EE1"/>
    <w:rsid w:val="007B3E99"/>
    <w:rsid w:val="007C1687"/>
    <w:rsid w:val="007D70B0"/>
    <w:rsid w:val="00874740"/>
    <w:rsid w:val="00876D7C"/>
    <w:rsid w:val="008E748E"/>
    <w:rsid w:val="0093499C"/>
    <w:rsid w:val="009408DD"/>
    <w:rsid w:val="00A1188F"/>
    <w:rsid w:val="00AE7FC7"/>
    <w:rsid w:val="00AF548C"/>
    <w:rsid w:val="00B36ABA"/>
    <w:rsid w:val="00B5798D"/>
    <w:rsid w:val="00B76C7F"/>
    <w:rsid w:val="00B96358"/>
    <w:rsid w:val="00BC5541"/>
    <w:rsid w:val="00C61C5B"/>
    <w:rsid w:val="00DD76E4"/>
    <w:rsid w:val="00DF4EEF"/>
    <w:rsid w:val="00E954F0"/>
    <w:rsid w:val="00F06DCB"/>
    <w:rsid w:val="00F8566A"/>
    <w:rsid w:val="00FC15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D5C121-C19D-4D94-9EE8-646AEA2A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paragraph" w:styleId="Ttulo1">
    <w:name w:val="heading 1"/>
    <w:basedOn w:val="Normal"/>
    <w:link w:val="Ttulo1Car"/>
    <w:uiPriority w:val="99"/>
    <w:qFormat/>
    <w:pPr>
      <w:spacing w:before="100" w:beforeAutospacing="1" w:after="100" w:afterAutospacing="1"/>
      <w:outlineLvl w:val="0"/>
    </w:pPr>
    <w:rPr>
      <w:rFonts w:ascii="Arial Unicode MS" w:eastAsia="Arial Unicode MS" w:hAnsi="Arial Unicode MS" w:cs="Arial Unicode MS"/>
      <w:b/>
      <w:bCs/>
      <w:color w:val="auto"/>
      <w:kern w:val="36"/>
      <w:sz w:val="48"/>
      <w:szCs w:val="48"/>
    </w:rPr>
  </w:style>
  <w:style w:type="paragraph" w:styleId="Ttulo2">
    <w:name w:val="heading 2"/>
    <w:basedOn w:val="Normal"/>
    <w:link w:val="Ttulo2Car"/>
    <w:uiPriority w:val="99"/>
    <w:qFormat/>
    <w:pPr>
      <w:spacing w:before="100" w:beforeAutospacing="1" w:after="100" w:afterAutospacing="1"/>
      <w:outlineLvl w:val="1"/>
    </w:pPr>
    <w:rPr>
      <w:rFonts w:ascii="Arial Unicode MS" w:eastAsia="Arial Unicode MS" w:hAnsi="Arial Unicode MS" w:cs="Arial Unicode MS"/>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basedOn w:val="Fuentedeprrafopredeter"/>
    <w:link w:val="Textoindependiente"/>
    <w:uiPriority w:val="99"/>
    <w:rPr>
      <w:rFonts w:ascii="Arial" w:hAnsi="Arial" w:cs="Arial"/>
      <w:color w:val="000000"/>
      <w:sz w:val="24"/>
      <w:szCs w:val="24"/>
    </w:rPr>
  </w:style>
  <w:style w:type="paragraph" w:styleId="Textonotaalfinal">
    <w:name w:val="endnote text"/>
    <w:basedOn w:val="Normal"/>
    <w:link w:val="TextonotaalfinalCar"/>
    <w:uiPriority w:val="99"/>
    <w:rPr>
      <w:sz w:val="20"/>
      <w:szCs w:val="20"/>
    </w:rPr>
  </w:style>
  <w:style w:type="character" w:customStyle="1" w:styleId="TextonotaalfinalCar">
    <w:name w:val="Texto nota al final Car"/>
    <w:basedOn w:val="Fuentedeprrafopredeter"/>
    <w:link w:val="Textonotaalfinal"/>
    <w:uiPriority w:val="99"/>
    <w:rPr>
      <w:rFonts w:ascii="Arial" w:hAnsi="Arial" w:cs="Arial"/>
      <w:color w:val="000000"/>
      <w:sz w:val="20"/>
      <w:szCs w:val="20"/>
    </w:rPr>
  </w:style>
  <w:style w:type="character" w:styleId="Refdenotaalfinal">
    <w:name w:val="endnote reference"/>
    <w:basedOn w:val="Fuentedeprrafopredeter"/>
    <w:uiPriority w:val="99"/>
    <w:rPr>
      <w:rFonts w:ascii="Times New Roman" w:hAnsi="Times New Roman" w:cs="Times New Roman"/>
      <w:vertAlign w:val="superscript"/>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color w:val="000000"/>
      <w:sz w:val="24"/>
      <w:szCs w:val="24"/>
    </w:rPr>
  </w:style>
  <w:style w:type="character" w:styleId="Nmerodepgina">
    <w:name w:val="pag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customStyle="1" w:styleId="authors">
    <w:name w:val="authors"/>
    <w:basedOn w:val="Normal"/>
    <w:uiPriority w:val="99"/>
    <w:pPr>
      <w:spacing w:before="100" w:beforeAutospacing="1" w:after="100" w:afterAutospacing="1"/>
    </w:pPr>
    <w:rPr>
      <w:rFonts w:ascii="Arial Unicode MS" w:eastAsia="Arial Unicode MS" w:hAnsi="Arial Unicode MS" w:cs="Arial Unicode MS"/>
      <w:color w:val="auto"/>
    </w:rPr>
  </w:style>
  <w:style w:type="paragraph" w:customStyle="1" w:styleId="source">
    <w:name w:val="source"/>
    <w:basedOn w:val="Normal"/>
    <w:uiPriority w:val="99"/>
    <w:pPr>
      <w:spacing w:before="100" w:beforeAutospacing="1" w:after="100" w:afterAutospacing="1"/>
    </w:pPr>
    <w:rPr>
      <w:rFonts w:ascii="Arial Unicode MS" w:eastAsia="Arial Unicode MS" w:hAnsi="Arial Unicode MS" w:cs="Arial Unicode MS"/>
      <w:color w:val="auto"/>
    </w:rPr>
  </w:style>
  <w:style w:type="character" w:customStyle="1" w:styleId="journalname">
    <w:name w:val="journalname"/>
    <w:basedOn w:val="Fuentedeprrafopredeter"/>
    <w:uiPriority w:val="99"/>
    <w:rPr>
      <w:rFonts w:ascii="Times New Roman" w:hAnsi="Times New Roman" w:cs="Times New Roman"/>
    </w:rPr>
  </w:style>
  <w:style w:type="paragraph" w:styleId="Mapadeldocumento">
    <w:name w:val="Document Map"/>
    <w:basedOn w:val="Normal"/>
    <w:link w:val="MapadeldocumentoCar"/>
    <w:uiPriority w:val="9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Pr>
      <w:rFonts w:ascii="Times New Roman" w:hAnsi="Times New Roman" w:cs="Times New Roman"/>
      <w:color w:val="000000"/>
      <w:sz w:val="2"/>
      <w:szCs w:val="2"/>
    </w:rPr>
  </w:style>
  <w:style w:type="character" w:customStyle="1" w:styleId="jrnl">
    <w:name w:val="jrnl"/>
    <w:basedOn w:val="Fuentedeprrafopredeter"/>
    <w:uiPriority w:val="99"/>
    <w:rPr>
      <w:rFonts w:ascii="Times New Roman" w:hAnsi="Times New Roman" w:cs="Times New Roman"/>
    </w:rPr>
  </w:style>
  <w:style w:type="paragraph" w:styleId="Textoindependiente2">
    <w:name w:val="Body Text 2"/>
    <w:basedOn w:val="Normal"/>
    <w:link w:val="Textoindependiente2Car"/>
    <w:uiPriority w:val="99"/>
    <w:pPr>
      <w:jc w:val="both"/>
    </w:pPr>
    <w:rPr>
      <w:color w:val="auto"/>
    </w:rPr>
  </w:style>
  <w:style w:type="character" w:customStyle="1" w:styleId="Textoindependiente2Car">
    <w:name w:val="Texto independiente 2 Car"/>
    <w:basedOn w:val="Fuentedeprrafopredeter"/>
    <w:link w:val="Textoindependiente2"/>
    <w:uiPriority w:val="99"/>
    <w:rPr>
      <w:rFonts w:ascii="Arial" w:hAnsi="Arial" w:cs="Arial"/>
      <w:color w:val="000000"/>
      <w:sz w:val="24"/>
      <w:szCs w:val="24"/>
    </w:rPr>
  </w:style>
  <w:style w:type="character" w:customStyle="1" w:styleId="st">
    <w:name w:val="st"/>
    <w:basedOn w:val="Fuentedeprrafopredeter"/>
    <w:uiPriority w:val="99"/>
    <w:rPr>
      <w:rFonts w:ascii="Times New Roman" w:hAnsi="Times New Roman" w:cs="Times New Roman"/>
    </w:rPr>
  </w:style>
  <w:style w:type="character" w:styleId="nfasis">
    <w:name w:val="Emphasis"/>
    <w:basedOn w:val="Fuentedeprrafopredeter"/>
    <w:uiPriority w:val="99"/>
    <w:qFormat/>
    <w:rPr>
      <w:rFonts w:ascii="Times New Roman" w:hAnsi="Times New Roman" w:cs="Times New Roman"/>
      <w:i/>
      <w:iCs/>
    </w:rPr>
  </w:style>
  <w:style w:type="character" w:customStyle="1" w:styleId="smallcaps">
    <w:name w:val="smallcaps"/>
    <w:basedOn w:val="Fuentedeprrafopredeter"/>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auto"/>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color w:val="000000"/>
      <w:sz w:val="18"/>
      <w:szCs w:val="18"/>
    </w:rPr>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basedOn w:val="Fuentedeprrafopredeter"/>
    <w:link w:val="Textocomentario"/>
    <w:uiPriority w:val="99"/>
    <w:rPr>
      <w:rFonts w:ascii="Arial" w:hAnsi="Arial" w:cs="Arial"/>
      <w:color w:val="00000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Arial" w:hAnsi="Arial" w:cs="Arial"/>
      <w:b/>
      <w:bCs/>
      <w:color w:val="000000"/>
    </w:rPr>
  </w:style>
  <w:style w:type="paragraph" w:customStyle="1" w:styleId="Sombreadovistoso-nfasis11">
    <w:name w:val="Sombreado vistoso - Énfasis 11"/>
    <w:hidden/>
    <w:uiPriority w:val="99"/>
    <w:rPr>
      <w:rFonts w:ascii="Arial" w:hAnsi="Arial" w:cs="Arial"/>
      <w:color w:val="000000"/>
      <w:sz w:val="24"/>
      <w:szCs w:val="24"/>
    </w:rPr>
  </w:style>
  <w:style w:type="paragraph" w:customStyle="1" w:styleId="Bibliografa1">
    <w:name w:val="Bibliografía1"/>
    <w:basedOn w:val="Normal"/>
    <w:next w:val="Normal"/>
    <w:uiPriority w:val="99"/>
    <w:pPr>
      <w:tabs>
        <w:tab w:val="left" w:pos="504"/>
      </w:tabs>
      <w:spacing w:after="240"/>
      <w:ind w:left="504" w:hanging="504"/>
    </w:pPr>
  </w:style>
  <w:style w:type="paragraph" w:styleId="Bibliografa">
    <w:name w:val="Bibliography"/>
    <w:basedOn w:val="Normal"/>
    <w:next w:val="Normal"/>
    <w:uiPriority w:val="99"/>
    <w:pPr>
      <w:spacing w:line="480" w:lineRule="auto"/>
      <w:ind w:left="720" w:hanging="720"/>
    </w:pPr>
  </w:style>
  <w:style w:type="paragraph" w:customStyle="1" w:styleId="Body">
    <w:name w:val="Body"/>
    <w:uiPriority w:val="99"/>
    <w:pPr>
      <w:pBdr>
        <w:top w:val="none" w:sz="96" w:space="31" w:color="FFFFFF" w:shadow="1" w:frame="1"/>
        <w:left w:val="none" w:sz="96" w:space="31" w:color="FFFFFF" w:shadow="1" w:frame="1"/>
        <w:bottom w:val="none" w:sz="96" w:space="31" w:color="FFFFFF" w:shadow="1" w:frame="1"/>
        <w:right w:val="none" w:sz="96" w:space="31" w:color="FFFFFF" w:shadow="1" w:frame="1"/>
      </w:pBdr>
      <w:spacing w:after="160" w:line="259" w:lineRule="auto"/>
    </w:pPr>
    <w:rPr>
      <w:rFonts w:ascii="Calibri" w:hAnsi="Calibri" w:cs="Calibri"/>
      <w:color w:val="000000"/>
      <w:u w:color="000000"/>
      <w:lang w:val="en-US"/>
    </w:rPr>
  </w:style>
  <w:style w:type="paragraph" w:styleId="Revisin">
    <w:name w:val="Revision"/>
    <w:hidden/>
    <w:uiPriority w:val="99"/>
    <w:rPr>
      <w:rFonts w:ascii="Arial" w:hAnsi="Arial" w:cs="Arial"/>
      <w:color w:val="000000"/>
      <w:sz w:val="24"/>
      <w:szCs w:val="24"/>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auto"/>
      <w:sz w:val="20"/>
      <w:szCs w:val="20"/>
    </w:rPr>
  </w:style>
  <w:style w:type="character" w:customStyle="1" w:styleId="HTMLconformatoprevioCar">
    <w:name w:val="HTML con formato previo Car"/>
    <w:basedOn w:val="Fuentedeprrafopredeter"/>
    <w:link w:val="HTMLconformatoprevio"/>
    <w:uiPriority w:val="99"/>
    <w:rPr>
      <w:rFonts w:ascii="Courier New" w:hAnsi="Courier New" w:cs="Courier New"/>
      <w:color w:val="000000"/>
      <w:sz w:val="20"/>
      <w:szCs w:val="20"/>
    </w:rPr>
  </w:style>
  <w:style w:type="character" w:customStyle="1" w:styleId="highwire-cite-metadata-doi">
    <w:name w:val="highwire-cite-metadata-doi"/>
    <w:basedOn w:val="Fuentedeprrafopredeter"/>
    <w:rsid w:val="00F8566A"/>
    <w:rPr>
      <w:sz w:val="24"/>
      <w:szCs w:val="24"/>
      <w:bdr w:val="none" w:sz="0" w:space="0" w:color="auto" w:frame="1"/>
      <w:vertAlign w:val="baseline"/>
    </w:rPr>
  </w:style>
  <w:style w:type="character" w:customStyle="1" w:styleId="label1">
    <w:name w:val="label1"/>
    <w:basedOn w:val="Fuentedeprrafopredeter"/>
    <w:rsid w:val="00F8566A"/>
    <w:rPr>
      <w:b/>
      <w:bCs/>
      <w:sz w:val="24"/>
      <w:szCs w:val="24"/>
      <w:bdr w:val="none" w:sz="0" w:space="0" w:color="auto" w:frame="1"/>
      <w:vertAlign w:val="baseline"/>
    </w:rPr>
  </w:style>
  <w:style w:type="character" w:customStyle="1" w:styleId="article-headermeta-info-label">
    <w:name w:val="article-header__meta-info-label"/>
    <w:basedOn w:val="Fuentedeprrafopredeter"/>
    <w:rsid w:val="000D5F06"/>
  </w:style>
  <w:style w:type="character" w:customStyle="1" w:styleId="article-headermeta-info-data">
    <w:name w:val="article-header__meta-info-data"/>
    <w:basedOn w:val="Fuentedeprrafopredeter"/>
    <w:rsid w:val="000D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rvillal@aspb.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4590570719603028E-2"/>
          <c:y val="5.4502369668246509E-2"/>
          <c:w val="0.94665012406947946"/>
          <c:h val="0.70379146919431335"/>
        </c:manualLayout>
      </c:layout>
      <c:barChart>
        <c:barDir val="col"/>
        <c:grouping val="stacked"/>
        <c:varyColors val="0"/>
        <c:ser>
          <c:idx val="0"/>
          <c:order val="0"/>
          <c:tx>
            <c:strRef>
              <c:f>Sheet1!$A$2</c:f>
              <c:strCache>
                <c:ptCount val="1"/>
                <c:pt idx="0">
                  <c:v>Venta y consumo</c:v>
                </c:pt>
              </c:strCache>
            </c:strRef>
          </c:tx>
          <c:spPr>
            <a:solidFill>
              <a:srgbClr val="C0C0C0"/>
            </a:solidFill>
            <a:ln w="10828">
              <a:solidFill>
                <a:srgbClr val="000000"/>
              </a:solidFill>
              <a:prstDash val="solid"/>
            </a:ln>
          </c:spPr>
          <c:invertIfNegative val="0"/>
          <c:cat>
            <c:strRef>
              <c:f>Sheet1!$B$1:$K$1</c:f>
              <c:strCache>
                <c:ptCount val="10"/>
                <c:pt idx="0">
                  <c:v>Ciutat Vellla</c:v>
                </c:pt>
                <c:pt idx="1">
                  <c:v>Eixample</c:v>
                </c:pt>
                <c:pt idx="2">
                  <c:v>Sants-Montjuïc</c:v>
                </c:pt>
                <c:pt idx="3">
                  <c:v>Les Corts</c:v>
                </c:pt>
                <c:pt idx="4">
                  <c:v>Sarrià- St Gervasi</c:v>
                </c:pt>
                <c:pt idx="5">
                  <c:v>Gràcia</c:v>
                </c:pt>
                <c:pt idx="6">
                  <c:v>Horta - Guinardó</c:v>
                </c:pt>
                <c:pt idx="7">
                  <c:v>Nou Barris</c:v>
                </c:pt>
                <c:pt idx="8">
                  <c:v>St Andreu</c:v>
                </c:pt>
                <c:pt idx="9">
                  <c:v>St Martí</c:v>
                </c:pt>
              </c:strCache>
            </c:strRef>
          </c:cat>
          <c:val>
            <c:numRef>
              <c:f>Sheet1!$B$2:$K$2</c:f>
              <c:numCache>
                <c:formatCode>General</c:formatCode>
                <c:ptCount val="10"/>
                <c:pt idx="0">
                  <c:v>49</c:v>
                </c:pt>
                <c:pt idx="1">
                  <c:v>60</c:v>
                </c:pt>
                <c:pt idx="2">
                  <c:v>7</c:v>
                </c:pt>
                <c:pt idx="3">
                  <c:v>17</c:v>
                </c:pt>
                <c:pt idx="4">
                  <c:v>12</c:v>
                </c:pt>
                <c:pt idx="5">
                  <c:v>13</c:v>
                </c:pt>
                <c:pt idx="6">
                  <c:v>12</c:v>
                </c:pt>
                <c:pt idx="7">
                  <c:v>9</c:v>
                </c:pt>
                <c:pt idx="8">
                  <c:v>14</c:v>
                </c:pt>
                <c:pt idx="9">
                  <c:v>12</c:v>
                </c:pt>
              </c:numCache>
            </c:numRef>
          </c:val>
        </c:ser>
        <c:ser>
          <c:idx val="1"/>
          <c:order val="1"/>
          <c:tx>
            <c:strRef>
              <c:f>Sheet1!$A$3</c:f>
              <c:strCache>
                <c:ptCount val="1"/>
                <c:pt idx="0">
                  <c:v>Venta sin consumo (comercio alimentario)</c:v>
                </c:pt>
              </c:strCache>
            </c:strRef>
          </c:tx>
          <c:spPr>
            <a:solidFill>
              <a:srgbClr val="969696"/>
            </a:solidFill>
            <a:ln w="10828">
              <a:solidFill>
                <a:srgbClr val="000000"/>
              </a:solidFill>
              <a:prstDash val="solid"/>
            </a:ln>
          </c:spPr>
          <c:invertIfNegative val="0"/>
          <c:cat>
            <c:strRef>
              <c:f>Sheet1!$B$1:$K$1</c:f>
              <c:strCache>
                <c:ptCount val="10"/>
                <c:pt idx="0">
                  <c:v>Ciutat Vellla</c:v>
                </c:pt>
                <c:pt idx="1">
                  <c:v>Eixample</c:v>
                </c:pt>
                <c:pt idx="2">
                  <c:v>Sants-Montjuïc</c:v>
                </c:pt>
                <c:pt idx="3">
                  <c:v>Les Corts</c:v>
                </c:pt>
                <c:pt idx="4">
                  <c:v>Sarrià- St Gervasi</c:v>
                </c:pt>
                <c:pt idx="5">
                  <c:v>Gràcia</c:v>
                </c:pt>
                <c:pt idx="6">
                  <c:v>Horta - Guinardó</c:v>
                </c:pt>
                <c:pt idx="7">
                  <c:v>Nou Barris</c:v>
                </c:pt>
                <c:pt idx="8">
                  <c:v>St Andreu</c:v>
                </c:pt>
                <c:pt idx="9">
                  <c:v>St Martí</c:v>
                </c:pt>
              </c:strCache>
            </c:strRef>
          </c:cat>
          <c:val>
            <c:numRef>
              <c:f>Sheet1!$B$3:$K$3</c:f>
              <c:numCache>
                <c:formatCode>General</c:formatCode>
                <c:ptCount val="10"/>
                <c:pt idx="0">
                  <c:v>12</c:v>
                </c:pt>
                <c:pt idx="1">
                  <c:v>12</c:v>
                </c:pt>
                <c:pt idx="2">
                  <c:v>3</c:v>
                </c:pt>
                <c:pt idx="3">
                  <c:v>6</c:v>
                </c:pt>
                <c:pt idx="4">
                  <c:v>9</c:v>
                </c:pt>
                <c:pt idx="5">
                  <c:v>13</c:v>
                </c:pt>
                <c:pt idx="6">
                  <c:v>9</c:v>
                </c:pt>
                <c:pt idx="7">
                  <c:v>5</c:v>
                </c:pt>
                <c:pt idx="8">
                  <c:v>8</c:v>
                </c:pt>
                <c:pt idx="9">
                  <c:v>5</c:v>
                </c:pt>
              </c:numCache>
            </c:numRef>
          </c:val>
        </c:ser>
        <c:ser>
          <c:idx val="2"/>
          <c:order val="2"/>
          <c:tx>
            <c:strRef>
              <c:f>Sheet1!$A$4</c:f>
              <c:strCache>
                <c:ptCount val="1"/>
                <c:pt idx="0">
                  <c:v>Otros</c:v>
                </c:pt>
              </c:strCache>
            </c:strRef>
          </c:tx>
          <c:spPr>
            <a:solidFill>
              <a:srgbClr val="333333"/>
            </a:solidFill>
            <a:ln w="10828">
              <a:solidFill>
                <a:srgbClr val="000000"/>
              </a:solidFill>
              <a:prstDash val="solid"/>
            </a:ln>
          </c:spPr>
          <c:invertIfNegative val="0"/>
          <c:cat>
            <c:strRef>
              <c:f>Sheet1!$B$1:$K$1</c:f>
              <c:strCache>
                <c:ptCount val="10"/>
                <c:pt idx="0">
                  <c:v>Ciutat Vellla</c:v>
                </c:pt>
                <c:pt idx="1">
                  <c:v>Eixample</c:v>
                </c:pt>
                <c:pt idx="2">
                  <c:v>Sants-Montjuïc</c:v>
                </c:pt>
                <c:pt idx="3">
                  <c:v>Les Corts</c:v>
                </c:pt>
                <c:pt idx="4">
                  <c:v>Sarrià- St Gervasi</c:v>
                </c:pt>
                <c:pt idx="5">
                  <c:v>Gràcia</c:v>
                </c:pt>
                <c:pt idx="6">
                  <c:v>Horta - Guinardó</c:v>
                </c:pt>
                <c:pt idx="7">
                  <c:v>Nou Barris</c:v>
                </c:pt>
                <c:pt idx="8">
                  <c:v>St Andreu</c:v>
                </c:pt>
                <c:pt idx="9">
                  <c:v>St Martí</c:v>
                </c:pt>
              </c:strCache>
            </c:strRef>
          </c:cat>
          <c:val>
            <c:numRef>
              <c:f>Sheet1!$B$4:$K$4</c:f>
              <c:numCache>
                <c:formatCode>General</c:formatCode>
                <c:ptCount val="10"/>
                <c:pt idx="0">
                  <c:v>14</c:v>
                </c:pt>
                <c:pt idx="1">
                  <c:v>5</c:v>
                </c:pt>
                <c:pt idx="2">
                  <c:v>0</c:v>
                </c:pt>
                <c:pt idx="3">
                  <c:v>1</c:v>
                </c:pt>
                <c:pt idx="4">
                  <c:v>0</c:v>
                </c:pt>
                <c:pt idx="5">
                  <c:v>0</c:v>
                </c:pt>
                <c:pt idx="6">
                  <c:v>0</c:v>
                </c:pt>
                <c:pt idx="7">
                  <c:v>2</c:v>
                </c:pt>
                <c:pt idx="8">
                  <c:v>0</c:v>
                </c:pt>
                <c:pt idx="9">
                  <c:v>0</c:v>
                </c:pt>
              </c:numCache>
            </c:numRef>
          </c:val>
        </c:ser>
        <c:dLbls>
          <c:showLegendKey val="0"/>
          <c:showVal val="0"/>
          <c:showCatName val="0"/>
          <c:showSerName val="0"/>
          <c:showPercent val="0"/>
          <c:showBubbleSize val="0"/>
        </c:dLbls>
        <c:gapWidth val="150"/>
        <c:overlap val="100"/>
        <c:axId val="125843960"/>
        <c:axId val="125855488"/>
      </c:barChart>
      <c:catAx>
        <c:axId val="125843960"/>
        <c:scaling>
          <c:orientation val="minMax"/>
        </c:scaling>
        <c:delete val="0"/>
        <c:axPos val="b"/>
        <c:numFmt formatCode="General" sourceLinked="1"/>
        <c:majorTickMark val="out"/>
        <c:minorTickMark val="none"/>
        <c:tickLblPos val="nextTo"/>
        <c:spPr>
          <a:ln w="2707">
            <a:solidFill>
              <a:srgbClr val="000000"/>
            </a:solidFill>
            <a:prstDash val="solid"/>
          </a:ln>
        </c:spPr>
        <c:txPr>
          <a:bodyPr rot="0" vert="horz"/>
          <a:lstStyle/>
          <a:p>
            <a:pPr>
              <a:defRPr sz="937" b="0" i="0" u="none" strike="noStrike" baseline="0">
                <a:solidFill>
                  <a:srgbClr val="000000"/>
                </a:solidFill>
                <a:latin typeface="Arial"/>
                <a:ea typeface="Arial"/>
                <a:cs typeface="Arial"/>
              </a:defRPr>
            </a:pPr>
            <a:endParaRPr lang="es-ES"/>
          </a:p>
        </c:txPr>
        <c:crossAx val="125855488"/>
        <c:crosses val="autoZero"/>
        <c:auto val="1"/>
        <c:lblAlgn val="ctr"/>
        <c:lblOffset val="100"/>
        <c:tickLblSkip val="1"/>
        <c:tickMarkSkip val="1"/>
        <c:noMultiLvlLbl val="0"/>
      </c:catAx>
      <c:valAx>
        <c:axId val="125855488"/>
        <c:scaling>
          <c:orientation val="minMax"/>
          <c:max val="80"/>
        </c:scaling>
        <c:delete val="0"/>
        <c:axPos val="l"/>
        <c:majorGridlines>
          <c:spPr>
            <a:ln w="2707">
              <a:solidFill>
                <a:srgbClr val="000000"/>
              </a:solidFill>
              <a:prstDash val="solid"/>
            </a:ln>
          </c:spPr>
        </c:majorGridlines>
        <c:numFmt formatCode="General" sourceLinked="1"/>
        <c:majorTickMark val="out"/>
        <c:minorTickMark val="none"/>
        <c:tickLblPos val="nextTo"/>
        <c:spPr>
          <a:ln w="2707">
            <a:solidFill>
              <a:srgbClr val="000000"/>
            </a:solidFill>
            <a:prstDash val="solid"/>
          </a:ln>
        </c:spPr>
        <c:txPr>
          <a:bodyPr rot="0" vert="horz"/>
          <a:lstStyle/>
          <a:p>
            <a:pPr>
              <a:defRPr sz="1024" b="0" i="0" u="none" strike="noStrike" baseline="0">
                <a:solidFill>
                  <a:srgbClr val="000000"/>
                </a:solidFill>
                <a:latin typeface="Arial"/>
                <a:ea typeface="Arial"/>
                <a:cs typeface="Arial"/>
              </a:defRPr>
            </a:pPr>
            <a:endParaRPr lang="es-ES"/>
          </a:p>
        </c:txPr>
        <c:crossAx val="125843960"/>
        <c:crosses val="autoZero"/>
        <c:crossBetween val="between"/>
        <c:majorUnit val="20"/>
      </c:valAx>
      <c:spPr>
        <a:noFill/>
        <a:ln w="10828">
          <a:solidFill>
            <a:srgbClr val="000000"/>
          </a:solidFill>
          <a:prstDash val="solid"/>
        </a:ln>
      </c:spPr>
    </c:plotArea>
    <c:legend>
      <c:legendPos val="b"/>
      <c:layout>
        <c:manualLayout>
          <c:xMode val="edge"/>
          <c:yMode val="edge"/>
          <c:x val="0.1756202412144181"/>
          <c:y val="0.90992552213024658"/>
          <c:w val="0.70683814827230007"/>
          <c:h val="5.9241716922789234E-2"/>
        </c:manualLayout>
      </c:layout>
      <c:overlay val="0"/>
      <c:spPr>
        <a:noFill/>
        <a:ln w="21655">
          <a:noFill/>
        </a:ln>
      </c:spPr>
      <c:txPr>
        <a:bodyPr/>
        <a:lstStyle/>
        <a:p>
          <a:pPr>
            <a:defRPr sz="938" b="0"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1537" b="1" i="0" u="none" strike="noStrike" baseline="0">
          <a:solidFill>
            <a:srgbClr val="000000"/>
          </a:solidFill>
          <a:latin typeface="Times New Roman"/>
          <a:ea typeface="Times New Roman"/>
          <a:cs typeface="Times New Roman"/>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562005277044851E-2"/>
          <c:y val="2.8368794326241058E-2"/>
          <c:w val="0.96569920844327417"/>
          <c:h val="0.77541371158392403"/>
        </c:manualLayout>
      </c:layout>
      <c:barChart>
        <c:barDir val="col"/>
        <c:grouping val="stacked"/>
        <c:varyColors val="0"/>
        <c:ser>
          <c:idx val="0"/>
          <c:order val="0"/>
          <c:tx>
            <c:strRef>
              <c:f>Sheet1!$A$2</c:f>
              <c:strCache>
                <c:ptCount val="1"/>
                <c:pt idx="0">
                  <c:v>Grupos de personas consumiendo</c:v>
                </c:pt>
              </c:strCache>
            </c:strRef>
          </c:tx>
          <c:spPr>
            <a:solidFill>
              <a:srgbClr val="C0C0C0"/>
            </a:solidFill>
            <a:ln w="12043">
              <a:solidFill>
                <a:srgbClr val="000000"/>
              </a:solidFill>
              <a:prstDash val="solid"/>
            </a:ln>
          </c:spPr>
          <c:invertIfNegative val="0"/>
          <c:cat>
            <c:strRef>
              <c:f>Sheet1!$B$1:$D$1</c:f>
              <c:strCache>
                <c:ptCount val="3"/>
                <c:pt idx="0">
                  <c:v>Mañana</c:v>
                </c:pt>
                <c:pt idx="1">
                  <c:v>Tarde</c:v>
                </c:pt>
                <c:pt idx="2">
                  <c:v>Noche</c:v>
                </c:pt>
              </c:strCache>
            </c:strRef>
          </c:cat>
          <c:val>
            <c:numRef>
              <c:f>Sheet1!$B$2:$D$2</c:f>
              <c:numCache>
                <c:formatCode>General</c:formatCode>
                <c:ptCount val="3"/>
                <c:pt idx="0">
                  <c:v>5</c:v>
                </c:pt>
                <c:pt idx="1">
                  <c:v>11</c:v>
                </c:pt>
                <c:pt idx="2">
                  <c:v>11</c:v>
                </c:pt>
              </c:numCache>
            </c:numRef>
          </c:val>
        </c:ser>
        <c:ser>
          <c:idx val="1"/>
          <c:order val="1"/>
          <c:tx>
            <c:strRef>
              <c:f>Sheet1!$A$3</c:f>
              <c:strCache>
                <c:ptCount val="1"/>
                <c:pt idx="0">
                  <c:v>Envases abandonados</c:v>
                </c:pt>
              </c:strCache>
            </c:strRef>
          </c:tx>
          <c:spPr>
            <a:pattFill prst="pct10">
              <a:fgClr>
                <a:srgbClr val="808080"/>
              </a:fgClr>
              <a:bgClr>
                <a:srgbClr val="FFFFFF"/>
              </a:bgClr>
            </a:pattFill>
            <a:ln w="12043">
              <a:solidFill>
                <a:srgbClr val="000000"/>
              </a:solidFill>
              <a:prstDash val="solid"/>
            </a:ln>
          </c:spPr>
          <c:invertIfNegative val="0"/>
          <c:cat>
            <c:strRef>
              <c:f>Sheet1!$B$1:$D$1</c:f>
              <c:strCache>
                <c:ptCount val="3"/>
                <c:pt idx="0">
                  <c:v>Mañana</c:v>
                </c:pt>
                <c:pt idx="1">
                  <c:v>Tarde</c:v>
                </c:pt>
                <c:pt idx="2">
                  <c:v>Noche</c:v>
                </c:pt>
              </c:strCache>
            </c:strRef>
          </c:cat>
          <c:val>
            <c:numRef>
              <c:f>Sheet1!$B$3:$D$3</c:f>
              <c:numCache>
                <c:formatCode>General</c:formatCode>
                <c:ptCount val="3"/>
                <c:pt idx="0">
                  <c:v>29</c:v>
                </c:pt>
                <c:pt idx="1">
                  <c:v>19</c:v>
                </c:pt>
                <c:pt idx="2">
                  <c:v>32</c:v>
                </c:pt>
              </c:numCache>
            </c:numRef>
          </c:val>
        </c:ser>
        <c:ser>
          <c:idx val="2"/>
          <c:order val="2"/>
          <c:tx>
            <c:strRef>
              <c:f>Sheet1!$A$4</c:f>
              <c:strCache>
                <c:ptCount val="1"/>
                <c:pt idx="0">
                  <c:v>Otros restos</c:v>
                </c:pt>
              </c:strCache>
            </c:strRef>
          </c:tx>
          <c:spPr>
            <a:solidFill>
              <a:srgbClr val="FFFFFF"/>
            </a:solidFill>
            <a:ln w="12043">
              <a:solidFill>
                <a:srgbClr val="000000"/>
              </a:solidFill>
              <a:prstDash val="solid"/>
            </a:ln>
          </c:spPr>
          <c:invertIfNegative val="0"/>
          <c:cat>
            <c:strRef>
              <c:f>Sheet1!$B$1:$D$1</c:f>
              <c:strCache>
                <c:ptCount val="3"/>
                <c:pt idx="0">
                  <c:v>Mañana</c:v>
                </c:pt>
                <c:pt idx="1">
                  <c:v>Tarde</c:v>
                </c:pt>
                <c:pt idx="2">
                  <c:v>Noche</c:v>
                </c:pt>
              </c:strCache>
            </c:strRef>
          </c:cat>
          <c:val>
            <c:numRef>
              <c:f>Sheet1!$B$4:$D$4</c:f>
              <c:numCache>
                <c:formatCode>General</c:formatCode>
                <c:ptCount val="3"/>
                <c:pt idx="0">
                  <c:v>8</c:v>
                </c:pt>
                <c:pt idx="1">
                  <c:v>9</c:v>
                </c:pt>
                <c:pt idx="2">
                  <c:v>9</c:v>
                </c:pt>
              </c:numCache>
            </c:numRef>
          </c:val>
        </c:ser>
        <c:dLbls>
          <c:showLegendKey val="0"/>
          <c:showVal val="0"/>
          <c:showCatName val="0"/>
          <c:showSerName val="0"/>
          <c:showPercent val="0"/>
          <c:showBubbleSize val="0"/>
        </c:dLbls>
        <c:gapWidth val="150"/>
        <c:overlap val="100"/>
        <c:axId val="125679064"/>
        <c:axId val="125713552"/>
      </c:barChart>
      <c:catAx>
        <c:axId val="125679064"/>
        <c:scaling>
          <c:orientation val="minMax"/>
        </c:scaling>
        <c:delete val="0"/>
        <c:axPos val="b"/>
        <c:numFmt formatCode="General" sourceLinked="1"/>
        <c:majorTickMark val="out"/>
        <c:minorTickMark val="none"/>
        <c:tickLblPos val="nextTo"/>
        <c:spPr>
          <a:ln w="3011">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es-ES"/>
          </a:p>
        </c:txPr>
        <c:crossAx val="125713552"/>
        <c:crosses val="autoZero"/>
        <c:auto val="1"/>
        <c:lblAlgn val="ctr"/>
        <c:lblOffset val="100"/>
        <c:tickLblSkip val="1"/>
        <c:tickMarkSkip val="1"/>
        <c:noMultiLvlLbl val="0"/>
      </c:catAx>
      <c:valAx>
        <c:axId val="125713552"/>
        <c:scaling>
          <c:orientation val="minMax"/>
        </c:scaling>
        <c:delete val="0"/>
        <c:axPos val="l"/>
        <c:majorGridlines>
          <c:spPr>
            <a:ln w="3011">
              <a:solidFill>
                <a:srgbClr val="000000"/>
              </a:solidFill>
              <a:prstDash val="solid"/>
            </a:ln>
          </c:spPr>
        </c:majorGridlines>
        <c:numFmt formatCode="General" sourceLinked="1"/>
        <c:majorTickMark val="out"/>
        <c:minorTickMark val="none"/>
        <c:tickLblPos val="nextTo"/>
        <c:spPr>
          <a:ln w="3011">
            <a:solidFill>
              <a:srgbClr val="000000"/>
            </a:solidFill>
            <a:prstDash val="solid"/>
          </a:ln>
        </c:spPr>
        <c:txPr>
          <a:bodyPr rot="0" vert="horz"/>
          <a:lstStyle/>
          <a:p>
            <a:pPr>
              <a:defRPr sz="880" b="1" i="0" u="none" strike="noStrike" baseline="0">
                <a:solidFill>
                  <a:srgbClr val="000000"/>
                </a:solidFill>
                <a:latin typeface="Arial"/>
                <a:ea typeface="Arial"/>
                <a:cs typeface="Arial"/>
              </a:defRPr>
            </a:pPr>
            <a:endParaRPr lang="es-ES"/>
          </a:p>
        </c:txPr>
        <c:crossAx val="125679064"/>
        <c:crosses val="autoZero"/>
        <c:crossBetween val="between"/>
        <c:majorUnit val="20"/>
      </c:valAx>
      <c:spPr>
        <a:noFill/>
        <a:ln w="12043">
          <a:solidFill>
            <a:srgbClr val="000000"/>
          </a:solidFill>
          <a:prstDash val="solid"/>
        </a:ln>
      </c:spPr>
    </c:plotArea>
    <c:legend>
      <c:legendPos val="b"/>
      <c:layout>
        <c:manualLayout>
          <c:xMode val="edge"/>
          <c:yMode val="edge"/>
          <c:x val="0"/>
          <c:y val="0.94029858061354121"/>
          <c:w val="0.98010606366511877"/>
          <c:h val="5.9701419386458787E-2"/>
        </c:manualLayout>
      </c:layout>
      <c:overlay val="0"/>
      <c:spPr>
        <a:noFill/>
        <a:ln w="24085">
          <a:noFill/>
        </a:ln>
      </c:spPr>
      <c:txPr>
        <a:bodyPr/>
        <a:lstStyle/>
        <a:p>
          <a:pPr>
            <a:defRPr sz="1043" b="0"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880" b="1" i="0" u="none" strike="noStrike" baseline="0">
          <a:solidFill>
            <a:srgbClr val="000000"/>
          </a:solidFill>
          <a:latin typeface="Arial"/>
          <a:ea typeface="Arial"/>
          <a:cs typeface="Arial"/>
        </a:defRPr>
      </a:pPr>
      <a:endParaRPr lang="es-E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747D-6766-4576-A60F-80B8E83D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4777</Words>
  <Characters>82862</Characters>
  <Application>Microsoft Office Word</Application>
  <DocSecurity>0</DocSecurity>
  <Lines>690</Lines>
  <Paragraphs>174</Paragraphs>
  <ScaleCrop>false</ScaleCrop>
  <HeadingPairs>
    <vt:vector size="2" baseType="variant">
      <vt:variant>
        <vt:lpstr>Título</vt:lpstr>
      </vt:variant>
      <vt:variant>
        <vt:i4>1</vt:i4>
      </vt:variant>
    </vt:vector>
  </HeadingPairs>
  <TitlesOfParts>
    <vt:vector size="1" baseType="lpstr">
      <vt:lpstr>Para ser presentado para publicación</vt:lpstr>
    </vt:vector>
  </TitlesOfParts>
  <Company>ASPB</Company>
  <LinksUpToDate>false</LinksUpToDate>
  <CharactersWithSpaces>87465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ser presentado para publicación</dc:title>
  <dc:subject/>
  <dc:creator>curs</dc:creator>
  <cp:keywords/>
  <dc:description/>
  <cp:lastModifiedBy>jrvillal</cp:lastModifiedBy>
  <cp:revision>13</cp:revision>
  <cp:lastPrinted>2017-09-13T08:08:00Z</cp:lastPrinted>
  <dcterms:created xsi:type="dcterms:W3CDTF">2017-09-12T14:23:00Z</dcterms:created>
  <dcterms:modified xsi:type="dcterms:W3CDTF">2017-09-13T08:21:00Z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id="1ZAUN5sA"/&gt;&lt;style id="http://www.zotero.org/styles/apa" locale="ca-AD"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