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5C8C" w14:textId="7F5A130C" w:rsidR="00E17D10" w:rsidRPr="005C1D7B" w:rsidRDefault="00E17D10" w:rsidP="005C1D7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5C1D7B">
        <w:rPr>
          <w:rFonts w:ascii="Times New Roman" w:hAnsi="Times New Roman" w:cs="Times New Roman"/>
          <w:sz w:val="24"/>
          <w:szCs w:val="24"/>
          <w:lang w:val="es-ES"/>
        </w:rPr>
        <w:t xml:space="preserve">Barcelona 19 de </w:t>
      </w:r>
      <w:r w:rsidR="005C1D7B" w:rsidRPr="005C1D7B">
        <w:rPr>
          <w:rFonts w:ascii="Times New Roman" w:hAnsi="Times New Roman" w:cs="Times New Roman"/>
          <w:sz w:val="24"/>
          <w:szCs w:val="24"/>
          <w:lang w:val="es-ES"/>
        </w:rPr>
        <w:t>junio</w:t>
      </w:r>
      <w:r w:rsidRPr="005C1D7B">
        <w:rPr>
          <w:rFonts w:ascii="Times New Roman" w:hAnsi="Times New Roman" w:cs="Times New Roman"/>
          <w:sz w:val="24"/>
          <w:szCs w:val="24"/>
          <w:lang w:val="es-ES"/>
        </w:rPr>
        <w:t xml:space="preserve"> de 2022</w:t>
      </w:r>
    </w:p>
    <w:p w14:paraId="6A0D56BB" w14:textId="77777777" w:rsidR="00E17D10" w:rsidRPr="005C1D7B" w:rsidRDefault="00E17D10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EF4DF3E" w14:textId="62F848CA" w:rsidR="002B0A4C" w:rsidRPr="005C1D7B" w:rsidRDefault="00E17D10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C1D7B">
        <w:rPr>
          <w:rFonts w:ascii="Times New Roman" w:hAnsi="Times New Roman" w:cs="Times New Roman"/>
          <w:sz w:val="24"/>
          <w:szCs w:val="24"/>
          <w:lang w:val="es-ES"/>
        </w:rPr>
        <w:t xml:space="preserve">Estimado editor, </w:t>
      </w:r>
    </w:p>
    <w:p w14:paraId="67E09964" w14:textId="3952BADF" w:rsidR="00E17D10" w:rsidRPr="005C1D7B" w:rsidRDefault="00E17D10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C1D7B">
        <w:rPr>
          <w:rFonts w:ascii="Times New Roman" w:hAnsi="Times New Roman" w:cs="Times New Roman"/>
          <w:sz w:val="24"/>
          <w:szCs w:val="24"/>
          <w:lang w:val="es-ES"/>
        </w:rPr>
        <w:t xml:space="preserve">Gracias por la oportunidad de poder mejorar nuestro Trabajo con los comentarios de los revisores/as. A </w:t>
      </w:r>
      <w:r w:rsidR="005C1D7B" w:rsidRPr="005C1D7B">
        <w:rPr>
          <w:rFonts w:ascii="Times New Roman" w:hAnsi="Times New Roman" w:cs="Times New Roman"/>
          <w:sz w:val="24"/>
          <w:szCs w:val="24"/>
          <w:lang w:val="es-ES"/>
        </w:rPr>
        <w:t>continuación,</w:t>
      </w:r>
      <w:r w:rsidRPr="005C1D7B">
        <w:rPr>
          <w:rFonts w:ascii="Times New Roman" w:hAnsi="Times New Roman" w:cs="Times New Roman"/>
          <w:sz w:val="24"/>
          <w:szCs w:val="24"/>
          <w:lang w:val="es-ES"/>
        </w:rPr>
        <w:t xml:space="preserve"> resumimos las respuestas y cambios realizados. Asimismo, se ha revisado todas las referencias siguiendo la normativa APA tal y como se indica en la normativa de la revista. Esperamos que los cambios realizados sean de su agrado.</w:t>
      </w:r>
    </w:p>
    <w:p w14:paraId="30D9EBC2" w14:textId="4372556C" w:rsidR="00E17D10" w:rsidRDefault="00E17D10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530FD4" w14:textId="7CB44DD8" w:rsidR="00E17D10" w:rsidRPr="005C1D7B" w:rsidRDefault="005C1D7B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Reciba un cordial saludo</w:t>
      </w:r>
    </w:p>
    <w:p w14:paraId="141C8B44" w14:textId="77777777" w:rsidR="00E17D10" w:rsidRPr="005C1D7B" w:rsidRDefault="00E17D10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8843" w:type="dxa"/>
        <w:tblLook w:val="04A0" w:firstRow="1" w:lastRow="0" w:firstColumn="1" w:lastColumn="0" w:noHBand="0" w:noVBand="1"/>
      </w:tblPr>
      <w:tblGrid>
        <w:gridCol w:w="4673"/>
        <w:gridCol w:w="4170"/>
      </w:tblGrid>
      <w:tr w:rsidR="005C1D7B" w:rsidRPr="005C1D7B" w14:paraId="0947A507" w14:textId="77777777" w:rsidTr="001247AF">
        <w:tc>
          <w:tcPr>
            <w:tcW w:w="8843" w:type="dxa"/>
            <w:gridSpan w:val="2"/>
          </w:tcPr>
          <w:p w14:paraId="21AF9F2B" w14:textId="49D799F6" w:rsidR="000428C7" w:rsidRPr="005C1D7B" w:rsidRDefault="000428C7" w:rsidP="005C1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REVISOR/A </w:t>
            </w:r>
            <w:proofErr w:type="spellStart"/>
            <w:r w:rsidRPr="005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A</w:t>
            </w:r>
            <w:proofErr w:type="spellEnd"/>
          </w:p>
        </w:tc>
      </w:tr>
      <w:tr w:rsidR="000428C7" w:rsidRPr="005C1D7B" w14:paraId="72F45E20" w14:textId="77777777" w:rsidTr="000428C7">
        <w:tc>
          <w:tcPr>
            <w:tcW w:w="4673" w:type="dxa"/>
          </w:tcPr>
          <w:p w14:paraId="288C4137" w14:textId="51F93755" w:rsidR="000428C7" w:rsidRPr="005C1D7B" w:rsidRDefault="000428C7" w:rsidP="005C1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Comentario</w:t>
            </w:r>
          </w:p>
        </w:tc>
        <w:tc>
          <w:tcPr>
            <w:tcW w:w="4170" w:type="dxa"/>
          </w:tcPr>
          <w:p w14:paraId="27AEAB75" w14:textId="60CC8D25" w:rsidR="000428C7" w:rsidRPr="005C1D7B" w:rsidRDefault="000428C7" w:rsidP="005C1D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Respuesta y cambios realizados</w:t>
            </w:r>
          </w:p>
        </w:tc>
      </w:tr>
      <w:tr w:rsidR="005C1D7B" w:rsidRPr="005C1D7B" w14:paraId="4370BABA" w14:textId="77777777" w:rsidTr="000428C7">
        <w:tc>
          <w:tcPr>
            <w:tcW w:w="4673" w:type="dxa"/>
          </w:tcPr>
          <w:p w14:paraId="1C92B1C5" w14:textId="6D58A86D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 xml:space="preserve">Como se puede ver a lo largo del texto, he introducido </w:t>
            </w:r>
            <w:proofErr w:type="spellStart"/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obervaciones</w:t>
            </w:r>
            <w:proofErr w:type="spellEnd"/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 xml:space="preserve"> formales, para mejorarlo; o tras de tipo metodológico, que me parecen indispensables para darle más solidez al trabajo; y, en el apartado de discusión, un par de reflexiones que deberían ser tenidas en cuenta para clarificar el análisis que se propone</w:t>
            </w:r>
          </w:p>
        </w:tc>
        <w:tc>
          <w:tcPr>
            <w:tcW w:w="4170" w:type="dxa"/>
          </w:tcPr>
          <w:p w14:paraId="42BA9D32" w14:textId="766F277E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Muchas gracias por sus </w:t>
            </w:r>
            <w:r w:rsidR="005C1D7B"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aportaciones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Se han realizado una </w:t>
            </w:r>
            <w:r w:rsidR="005C1D7B"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serie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cambios formales y clarificaciones metodológicas. 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 rojo, a lo largo de todo el documento</w:t>
            </w:r>
          </w:p>
        </w:tc>
      </w:tr>
      <w:tr w:rsidR="005C1D7B" w:rsidRPr="005C1D7B" w14:paraId="34B5FF1F" w14:textId="77777777" w:rsidTr="000428C7">
        <w:tc>
          <w:tcPr>
            <w:tcW w:w="4673" w:type="dxa"/>
          </w:tcPr>
          <w:p w14:paraId="56B84078" w14:textId="6F3A3E58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lang w:val="es-ES"/>
              </w:rPr>
              <w:t>“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Un tanto sesgada, teniendo en cuenta la importancia que se da después al contexto sociocultural.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 es lo que hay, en todo caso que conste que la 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autoria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es consciente de ello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4170" w:type="dxa"/>
          </w:tcPr>
          <w:p w14:paraId="758E1FB2" w14:textId="549A151A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Se explica en el apartado Metodología con detalle. He añadido “intencionada”</w:t>
            </w:r>
          </w:p>
        </w:tc>
      </w:tr>
      <w:tr w:rsidR="005C1D7B" w:rsidRPr="005C1D7B" w14:paraId="1383FC9E" w14:textId="77777777" w:rsidTr="000428C7">
        <w:tc>
          <w:tcPr>
            <w:tcW w:w="4673" w:type="dxa"/>
          </w:tcPr>
          <w:p w14:paraId="7D9C2960" w14:textId="77777777" w:rsidR="000428C7" w:rsidRPr="00BF1B5C" w:rsidRDefault="000428C7" w:rsidP="005C1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</w:pPr>
            <w:r w:rsidRPr="00BF1B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  <w:t>En la introducción introduciría con más profundidad las características o grupos más vulnerables o propensos a practicar Chemsex</w:t>
            </w:r>
          </w:p>
          <w:p w14:paraId="45092A6B" w14:textId="77777777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170" w:type="dxa"/>
          </w:tcPr>
          <w:p w14:paraId="0BAD22C4" w14:textId="01AFBAF9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Se ha clarificado en rojo en el primer párrafo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r w:rsidRPr="005C1D7B">
              <w:rPr>
                <w:lang w:val="es-ES"/>
              </w:rPr>
              <w:t xml:space="preserve">Nuevo texto: especialmente entre hombres gay, bisexuales y otros hombres que tienen sexo con hombres  (GBHSH) </w:t>
            </w:r>
            <w:r w:rsidRPr="005C1D7B">
              <w:rPr>
                <w:shd w:val="clear" w:color="auto" w:fill="FCFCFC"/>
                <w:lang w:val="es-ES"/>
              </w:rPr>
              <w:t>(</w:t>
            </w:r>
            <w:proofErr w:type="spellStart"/>
            <w:r w:rsidRPr="005C1D7B">
              <w:rPr>
                <w:rFonts w:eastAsia="Calibri"/>
                <w:lang w:val="es-ES"/>
              </w:rPr>
              <w:fldChar w:fldCharType="begin"/>
            </w:r>
            <w:r w:rsidRPr="005C1D7B">
              <w:rPr>
                <w:lang w:val="es-ES"/>
              </w:rPr>
              <w:instrText xml:space="preserve"> HYPERLINK  "https://www.sciencedirect.com/science/article/pii/S0955395918302986?casa_token=eV9en-YDkQwAAAAA:vaN_LMRKZT_dSUUGEFJT-FwjA80AZG0-72uvcDvbjbwN6mHDpmB0F5seORpgjwSowE4Gl3SVvoI#bib0020" </w:instrText>
            </w:r>
            <w:r w:rsidRPr="005C1D7B">
              <w:rPr>
                <w:lang w:val="es-ES"/>
              </w:rPr>
            </w:r>
            <w:r w:rsidRPr="005C1D7B">
              <w:rPr>
                <w:rFonts w:eastAsia="Calibri"/>
                <w:lang w:val="es-ES"/>
              </w:rPr>
              <w:fldChar w:fldCharType="separate"/>
            </w:r>
            <w:r w:rsidRPr="005C1D7B">
              <w:rPr>
                <w:lang w:val="es-ES"/>
              </w:rPr>
              <w:t>Bourne</w:t>
            </w:r>
            <w:proofErr w:type="spellEnd"/>
            <w:r w:rsidRPr="005C1D7B">
              <w:rPr>
                <w:lang w:val="es-ES"/>
              </w:rPr>
              <w:t xml:space="preserve">, Reid, </w:t>
            </w:r>
            <w:proofErr w:type="spellStart"/>
            <w:r w:rsidRPr="005C1D7B">
              <w:rPr>
                <w:lang w:val="es-ES"/>
              </w:rPr>
              <w:t>Hickson</w:t>
            </w:r>
            <w:proofErr w:type="spellEnd"/>
            <w:r w:rsidRPr="005C1D7B">
              <w:rPr>
                <w:lang w:val="es-ES"/>
              </w:rPr>
              <w:t xml:space="preserve">, Torres-Rueda, y </w:t>
            </w:r>
            <w:proofErr w:type="spellStart"/>
            <w:r w:rsidRPr="005C1D7B">
              <w:rPr>
                <w:lang w:val="es-ES"/>
              </w:rPr>
              <w:t>Weatherburn</w:t>
            </w:r>
            <w:proofErr w:type="spellEnd"/>
            <w:r w:rsidRPr="005C1D7B">
              <w:rPr>
                <w:lang w:val="es-ES"/>
              </w:rPr>
              <w:t>, 2015</w:t>
            </w:r>
            <w:r w:rsidRPr="005C1D7B">
              <w:rPr>
                <w:lang w:val="es-ES"/>
              </w:rPr>
              <w:fldChar w:fldCharType="end"/>
            </w:r>
            <w:r w:rsidRPr="005C1D7B">
              <w:rPr>
                <w:shd w:val="clear" w:color="auto" w:fill="FCFCFC"/>
                <w:lang w:val="es-ES"/>
              </w:rPr>
              <w:t>)</w:t>
            </w:r>
            <w:r w:rsidRPr="005C1D7B">
              <w:rPr>
                <w:lang w:val="es-ES"/>
              </w:rPr>
              <w:t>.</w:t>
            </w:r>
          </w:p>
        </w:tc>
      </w:tr>
      <w:tr w:rsidR="005C1D7B" w:rsidRPr="005C1D7B" w14:paraId="4D97C270" w14:textId="77777777" w:rsidTr="000428C7">
        <w:tc>
          <w:tcPr>
            <w:tcW w:w="4673" w:type="dxa"/>
          </w:tcPr>
          <w:p w14:paraId="09761950" w14:textId="61D0B448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lang w:val="es-ES"/>
              </w:rPr>
              <w:t>(Grupos focales) “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También deberían estar recogidas en una tabl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a”</w:t>
            </w:r>
          </w:p>
        </w:tc>
        <w:tc>
          <w:tcPr>
            <w:tcW w:w="4170" w:type="dxa"/>
          </w:tcPr>
          <w:p w14:paraId="12B5BBCD" w14:textId="585FF76E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ha añadido una tabla nueva incluyendo las preguntes </w:t>
            </w:r>
            <w:r w:rsidR="005C1D7B"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guía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de los grupos focales</w:t>
            </w:r>
          </w:p>
        </w:tc>
      </w:tr>
      <w:tr w:rsidR="005C1D7B" w:rsidRPr="005C1D7B" w14:paraId="1C02FF15" w14:textId="77777777" w:rsidTr="000428C7">
        <w:tc>
          <w:tcPr>
            <w:tcW w:w="4673" w:type="dxa"/>
          </w:tcPr>
          <w:p w14:paraId="43569D3B" w14:textId="77777777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A nivel metodológico es más útil si se establece un perfil de cada uno de los entrevistados, por aquello de saber quién dice qué; así como un perfil específico de cada uno de los grupos, con las características principales de sus participantes, para saber de qué tipo de Grupo salen las opiniones.</w:t>
            </w:r>
          </w:p>
          <w:p w14:paraId="4301505A" w14:textId="77777777" w:rsidR="000428C7" w:rsidRPr="005C1D7B" w:rsidRDefault="000428C7" w:rsidP="005C1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</w:pPr>
          </w:p>
        </w:tc>
        <w:tc>
          <w:tcPr>
            <w:tcW w:w="4170" w:type="dxa"/>
          </w:tcPr>
          <w:p w14:paraId="2474656A" w14:textId="287696DA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Totalmente de acuerdo. El problema es que dadas las características de los informantes el riesgo a ser identificado o sospechar de alguien era mayor si presentábamos los datos de tal forma. Por eso optamos por presentar únicamente esta información. Es un tema muy sensible, que puede dar lugar a discriminación por eso fuimos tan cautos.</w:t>
            </w:r>
          </w:p>
        </w:tc>
      </w:tr>
      <w:tr w:rsidR="005C1D7B" w:rsidRPr="005C1D7B" w14:paraId="19EE41ED" w14:textId="77777777" w:rsidTr="000428C7">
        <w:tc>
          <w:tcPr>
            <w:tcW w:w="4673" w:type="dxa"/>
          </w:tcPr>
          <w:p w14:paraId="30C8C8FD" w14:textId="6885FDCA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Tiene que haber una cierta coherencia en todo el texto en utilizar los conceptos vernáculos (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émic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) o los científicos (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étic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). Por ejemplo, dejarlos sólo cuando sean citas literales. Y si se quieren utilizar en todo el texto, un breve glosario para saber a qué corresponde cada uno.</w:t>
            </w:r>
          </w:p>
        </w:tc>
        <w:tc>
          <w:tcPr>
            <w:tcW w:w="4170" w:type="dxa"/>
          </w:tcPr>
          <w:p w14:paraId="17A9ADB2" w14:textId="3FD96B06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Se ha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diferenciado el nombre científico del nombre informal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21D34FA8" w14:textId="77777777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C1D7B" w:rsidRPr="005C1D7B" w14:paraId="1E083AA3" w14:textId="77777777" w:rsidTr="000428C7">
        <w:tc>
          <w:tcPr>
            <w:tcW w:w="4673" w:type="dxa"/>
          </w:tcPr>
          <w:p w14:paraId="4ECE8E37" w14:textId="728E4804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gram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Diagnóstico e 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indetectabilidad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 da en el mismo acto?</w:t>
            </w:r>
            <w:proofErr w:type="gram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Porque por el texto, y en la cita posterior, así parece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4170" w:type="dxa"/>
          </w:tcPr>
          <w:p w14:paraId="6532B203" w14:textId="55F170F6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No, no sucede de forma </w:t>
            </w:r>
            <w:r w:rsidR="005C1D7B"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simultánea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 He intentado clarificarlo con “tiempo después”</w:t>
            </w:r>
          </w:p>
        </w:tc>
      </w:tr>
      <w:tr w:rsidR="005C1D7B" w:rsidRPr="005C1D7B" w14:paraId="08290520" w14:textId="77777777" w:rsidTr="000428C7">
        <w:tc>
          <w:tcPr>
            <w:tcW w:w="4673" w:type="dxa"/>
          </w:tcPr>
          <w:p w14:paraId="273019B1" w14:textId="77777777" w:rsidR="000428C7" w:rsidRPr="00BF1B5C" w:rsidRDefault="000428C7" w:rsidP="005C1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</w:pPr>
            <w:r w:rsidRPr="00BF1B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  <w:t xml:space="preserve">Daría más énfasis en la discusión de la relación entre esta práctica y la salud mental (ya que según la literatura se ve asociada con problemas del estado de ánimo </w:t>
            </w:r>
            <w:proofErr w:type="spellStart"/>
            <w:r w:rsidRPr="00BF1B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  <w:t>y</w:t>
            </w:r>
            <w:proofErr w:type="spellEnd"/>
            <w:r w:rsidRPr="00BF1B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  <w:t xml:space="preserve"> intentos de suicidio, y además en los resultados se sugiere que la falta de herramientas para gestionar sucesos vitales estresantes puede iniciar esta práctica). </w:t>
            </w:r>
          </w:p>
          <w:p w14:paraId="7B5671D7" w14:textId="77777777" w:rsidR="000428C7" w:rsidRPr="00BF1B5C" w:rsidRDefault="000428C7" w:rsidP="005C1D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</w:pPr>
            <w:r w:rsidRPr="00BF1B5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ca-ES"/>
              </w:rPr>
              <w:t>También creo que se debería añadir este enfoque de salud mental al hacer recomendaciones para abordar esta problemática.</w:t>
            </w:r>
          </w:p>
          <w:p w14:paraId="1E872B87" w14:textId="77777777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170" w:type="dxa"/>
          </w:tcPr>
          <w:p w14:paraId="26BDA31B" w14:textId="77777777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Nuevo texto:</w:t>
            </w:r>
          </w:p>
          <w:p w14:paraId="429DA233" w14:textId="29A5D5DF" w:rsidR="000428C7" w:rsidRPr="005C1D7B" w:rsidRDefault="000428C7" w:rsidP="005C1D7B">
            <w:pPr>
              <w:pStyle w:val="Standard"/>
              <w:jc w:val="both"/>
              <w:rPr>
                <w:rStyle w:val="cf01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 la misma línea, la evidencia indica un impacto negativo en la salud mental de las personas que practican chemsex, </w:t>
            </w:r>
            <w:r w:rsidR="005C1D7B"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especialmente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términos de depresión, ansiedad, somatización (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Berg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Amunsen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Haugstvedt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2020;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Bohn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Sander,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Köler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Hess, Oswald,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Scherbaum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, et al., 2020) y drogodependencia (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Íncera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-Fernández, Gámez-Guadix, &amp; Moreno-Guillén, 2021). Este dato subraya la necesidad de ofrecer servicios adecuados de salud mental; de hecho, la literatura indica que uno de cada cuatro usuarios de chemsex en Holanda, expresa la necesidad de servicios de salud mental específicos y culturalmente adaptados (Evers,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Hoebe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Dukers-Muijrers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Kampman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Kuizenga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-Wessel,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Shilue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, Bakker, et al., 2020)</w:t>
            </w:r>
          </w:p>
        </w:tc>
      </w:tr>
      <w:tr w:rsidR="005C1D7B" w:rsidRPr="005C1D7B" w14:paraId="0C7D83FE" w14:textId="77777777" w:rsidTr="000428C7">
        <w:tc>
          <w:tcPr>
            <w:tcW w:w="4673" w:type="dxa"/>
          </w:tcPr>
          <w:p w14:paraId="3B575FB9" w14:textId="6CE7358A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Aquí se mencionan tres instancias diferentes: frecuencia, accesibilidad y práctica identitaria. </w:t>
            </w:r>
            <w:proofErr w:type="gram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Se aclarará más tarde que tipos de relaciones podemos presuponer entre estos tres aspectos?</w:t>
            </w:r>
            <w:proofErr w:type="gram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gram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No tiene 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porque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ser evidente la relación entre accesibilidad y frecuencia, si no es que ésta viene empujada por una determinada identificación… o no?</w:t>
            </w:r>
            <w:proofErr w:type="gram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Quiero decir que estas primeras afirmaciones también se tienen que problematizar, porque así, simplemente enunciadas, sí dicen algo, pero con escasa significación.</w:t>
            </w:r>
          </w:p>
        </w:tc>
        <w:tc>
          <w:tcPr>
            <w:tcW w:w="4170" w:type="dxa"/>
          </w:tcPr>
          <w:p w14:paraId="70A8775B" w14:textId="77777777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Gracias por el comentario. Lamentablemente la metodología utilizada es descriptiva y exploratoria, la cual no permite establecer relaciones causales ni significación. Tomo nota para futuras investigaciones</w:t>
            </w:r>
          </w:p>
          <w:p w14:paraId="22000471" w14:textId="77777777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5C1D7B" w:rsidRPr="005C1D7B" w14:paraId="1754CD7C" w14:textId="77777777" w:rsidTr="000428C7">
        <w:tc>
          <w:tcPr>
            <w:tcW w:w="4673" w:type="dxa"/>
          </w:tcPr>
          <w:p w14:paraId="65CDF2FA" w14:textId="77777777" w:rsidR="000428C7" w:rsidRPr="005C1D7B" w:rsidRDefault="000428C7" w:rsidP="005C1D7B">
            <w:pPr>
              <w:pStyle w:val="pf0"/>
              <w:rPr>
                <w:lang w:val="es-ES"/>
              </w:rPr>
            </w:pPr>
            <w:proofErr w:type="gram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Creéis que esta diferencia es significativa?</w:t>
            </w:r>
            <w:proofErr w:type="gramEnd"/>
          </w:p>
          <w:p w14:paraId="5DF2AAF1" w14:textId="77777777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170" w:type="dxa"/>
          </w:tcPr>
          <w:p w14:paraId="4194B8A4" w14:textId="7CFDE8D0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Significativa desde un punto de vista positivista no, pero relevante desde un punto de vista naturalista 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si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5C1D7B" w:rsidRPr="005C1D7B" w14:paraId="6A3722E9" w14:textId="77777777" w:rsidTr="000428C7">
        <w:tc>
          <w:tcPr>
            <w:tcW w:w="4673" w:type="dxa"/>
          </w:tcPr>
          <w:p w14:paraId="747A8110" w14:textId="77777777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Esto está muy bien, siempre que se entienda como una introducción a lo que viene luego, que es donde está “la chicha”, el contenido principal de lo que se ha encontrado, y es francamente interesante. Pero se tendría que 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 xml:space="preserve">notar que es esta introducción, porque si no se podría decir que cualquier fenómeno relacionado con la salud tiene estas </w:t>
            </w:r>
            <w:proofErr w:type="spellStart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carcterísticas</w:t>
            </w:r>
            <w:proofErr w:type="spellEnd"/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(multifactorial y causal, asociado al contexto sociocultural), por lo menos desde la antropología médica, la epidemiología sociocultural o la sociología de la salud.</w:t>
            </w:r>
          </w:p>
          <w:p w14:paraId="5C4C553C" w14:textId="77777777" w:rsidR="000428C7" w:rsidRPr="005C1D7B" w:rsidRDefault="000428C7" w:rsidP="005C1D7B">
            <w:pPr>
              <w:pStyle w:val="pf0"/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4170" w:type="dxa"/>
          </w:tcPr>
          <w:p w14:paraId="371BA2B9" w14:textId="67CB2EED" w:rsidR="000428C7" w:rsidRPr="005C1D7B" w:rsidRDefault="000428C7" w:rsidP="005C1D7B">
            <w:pPr>
              <w:pStyle w:val="pf0"/>
              <w:rPr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lastRenderedPageBreak/>
              <w:t>Gracias por el comentario. He intentado clarificar el contenido con las dos frases en rojo</w:t>
            </w: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  <w:p w14:paraId="23BB824B" w14:textId="77777777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Texto nuevo:</w:t>
            </w:r>
          </w:p>
          <w:p w14:paraId="776EB7F5" w14:textId="33D9732B" w:rsidR="000428C7" w:rsidRPr="005C1D7B" w:rsidRDefault="000428C7" w:rsidP="005C1D7B">
            <w:pPr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lastRenderedPageBreak/>
              <w:t>Este estudio concluye que la práctica de chemsex, como muchos otros fenómenos relacionados con la salud, debe comprenderse como multifactorial y multicausal, asociada al contexto sociocultural, por lo que a gestión del fenómeno debe de estar centrada y adaptada a las necesidades de cada usuario. Dada la particularidad del fenómeno, resulta crucial adentrarse en la comprensión de la satisfacción sexual...</w:t>
            </w:r>
          </w:p>
        </w:tc>
      </w:tr>
      <w:tr w:rsidR="005C1D7B" w:rsidRPr="005C1D7B" w14:paraId="4556D193" w14:textId="77777777" w:rsidTr="00C94354">
        <w:tc>
          <w:tcPr>
            <w:tcW w:w="8843" w:type="dxa"/>
            <w:gridSpan w:val="2"/>
          </w:tcPr>
          <w:p w14:paraId="7B3542F6" w14:textId="3641F120" w:rsidR="000428C7" w:rsidRPr="005C1D7B" w:rsidRDefault="000428C7" w:rsidP="005C1D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s-ES"/>
              </w:rPr>
              <w:lastRenderedPageBreak/>
              <w:t>REVISOR/A B</w:t>
            </w:r>
          </w:p>
        </w:tc>
      </w:tr>
      <w:tr w:rsidR="005C1D7B" w:rsidRPr="005C1D7B" w14:paraId="6B591153" w14:textId="77777777" w:rsidTr="000428C7">
        <w:tc>
          <w:tcPr>
            <w:tcW w:w="4673" w:type="dxa"/>
          </w:tcPr>
          <w:p w14:paraId="1EE0CA56" w14:textId="690FFB6D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En la introducción introduciría con más profundidad las características o grupos más vulnerables o propensos a practicar Chemsex.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4170" w:type="dxa"/>
          </w:tcPr>
          <w:p w14:paraId="30BF1425" w14:textId="23CD7287" w:rsidR="000428C7" w:rsidRPr="005C1D7B" w:rsidRDefault="000428C7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Style w:val="cf01"/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Se ha clarificado en rojo en el primer párrafo. 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Nuevo texto: 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especialmente entre hombres gay, bisexuales y otros hombres que tienen sexo con hombres  (GBHSH) </w:t>
            </w: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s-ES"/>
              </w:rPr>
              <w:t>(</w:t>
            </w:r>
            <w:proofErr w:type="spellStart"/>
            <w:r w:rsidRPr="005C1D7B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fldChar w:fldCharType="begin"/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instrText xml:space="preserve"> HYPERLINK  "https://www.sciencedirect.com/science/article/pii/S0955395918302986?casa_token=eV9en-YDkQwAAAAA:vaN_LMRKZT_dSUUGEFJT-FwjA80AZG0-72uvcDvbjbwN6mHDpmB0F5seORpgjwSowE4Gl3SVvoI#bib0020" </w:instrText>
            </w:r>
            <w:r w:rsidRPr="005C1D7B">
              <w:rPr>
                <w:rFonts w:ascii="Times New Roman" w:hAnsi="Times New Roman" w:cs="Times New Roman"/>
                <w:sz w:val="24"/>
                <w:szCs w:val="24"/>
                <w:lang w:val="es-ES"/>
              </w:rPr>
            </w:r>
            <w:r w:rsidRPr="005C1D7B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fldChar w:fldCharType="separate"/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Bourne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Reid,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Hickson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, Torres-Rueda, y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Weatherburn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, 2015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fldChar w:fldCharType="end"/>
            </w: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es-ES"/>
              </w:rPr>
              <w:t>)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</w:tr>
      <w:tr w:rsidR="005C1D7B" w:rsidRPr="005C1D7B" w14:paraId="445E5EAD" w14:textId="77777777" w:rsidTr="000428C7">
        <w:tc>
          <w:tcPr>
            <w:tcW w:w="4673" w:type="dxa"/>
          </w:tcPr>
          <w:p w14:paraId="52FA8168" w14:textId="1F2ED44E" w:rsidR="005C1D7B" w:rsidRPr="005C1D7B" w:rsidRDefault="005C1D7B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 xml:space="preserve">Daría más énfasis en la discusión de la relación entre esta práctica y la salud mental (ya que según la literatura se ve asociada con problemas del estado de ánimo </w:t>
            </w:r>
            <w:proofErr w:type="spellStart"/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y</w:t>
            </w:r>
            <w:proofErr w:type="spellEnd"/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 xml:space="preserve"> intentos de suicidio, y además en los resultados se sugiere que la falta de herramientas para gestionar sucesos vitales estresantes puede iniciar esta práctica).</w:t>
            </w:r>
          </w:p>
        </w:tc>
        <w:tc>
          <w:tcPr>
            <w:tcW w:w="4170" w:type="dxa"/>
            <w:vMerge w:val="restart"/>
          </w:tcPr>
          <w:p w14:paraId="20C9E24E" w14:textId="40C8A373" w:rsidR="005C1D7B" w:rsidRPr="005C1D7B" w:rsidRDefault="005C1D7B" w:rsidP="005C1D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</w:rPr>
              <w:t xml:space="preserve">Se ha intentado enfatizar la relación entre el Chemsex y la salud mental, así como visibilizar el enfoque desde salud mental en un único texto. </w:t>
            </w:r>
          </w:p>
          <w:p w14:paraId="7F4F0A18" w14:textId="77777777" w:rsidR="005C1D7B" w:rsidRPr="005C1D7B" w:rsidRDefault="005C1D7B" w:rsidP="005C1D7B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34E1E" w14:textId="093CC1FC" w:rsidR="005C1D7B" w:rsidRPr="005C1D7B" w:rsidRDefault="005C1D7B" w:rsidP="005C1D7B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</w:rPr>
              <w:t xml:space="preserve">Texto nuevo: 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Se encontraron hallazgos similares en diferentes contextos, incluido también un aumento de las ausencias en el trabajo (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Hegazi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al., 2017). En la misma línea, la evidencia indica un impacto negativo en la salud mental de las personas que practican chemsex, 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especialmente</w:t>
            </w:r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términos de depresión, ansiedad, somatización (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Berg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Amunsen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Haugstvedt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2020;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Bohn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Sander,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Köler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Hess, Oswald,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Scherbaum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, et al., 2020) y drogodependencia (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Íncera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-Fernández, Gámez-Guadix, &amp; Moreno-Guillén, 2021). Este dato subraya la necesidad de ofrecer servicios adecuados de salud mental; de hecho, la literatura indica que uno de cada cuatro usuarios de chemsex en Holanda, expresa la necesidad de servicios de salud mental específicos y culturalmente adaptados (Evers,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Hoebe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Dukers-Muijrers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Kampman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Kuizenga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-Wessel, </w:t>
            </w:r>
            <w:proofErr w:type="spellStart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Shilue</w:t>
            </w:r>
            <w:proofErr w:type="spellEnd"/>
            <w:r w:rsidRPr="005C1D7B">
              <w:rPr>
                <w:rFonts w:ascii="Times New Roman" w:eastAsia="Times New Roman" w:hAnsi="Times New Roman" w:cs="Times New Roman"/>
                <w:sz w:val="24"/>
                <w:szCs w:val="24"/>
              </w:rPr>
              <w:t>, Bakker, et al., 2020)</w:t>
            </w:r>
          </w:p>
        </w:tc>
      </w:tr>
      <w:tr w:rsidR="005C1D7B" w:rsidRPr="005C1D7B" w14:paraId="45688B88" w14:textId="77777777" w:rsidTr="000428C7">
        <w:tc>
          <w:tcPr>
            <w:tcW w:w="4673" w:type="dxa"/>
          </w:tcPr>
          <w:p w14:paraId="674D9CA2" w14:textId="3862C13C" w:rsidR="005C1D7B" w:rsidRPr="005C1D7B" w:rsidRDefault="005C1D7B" w:rsidP="005C1D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</w:pPr>
            <w:r w:rsidRPr="005C1D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También creo que se debería añadir este enfoque de salud mental al hacer recomendaciones para abordar esta problemática</w:t>
            </w:r>
          </w:p>
        </w:tc>
        <w:tc>
          <w:tcPr>
            <w:tcW w:w="4170" w:type="dxa"/>
            <w:vMerge/>
          </w:tcPr>
          <w:p w14:paraId="277EE4E5" w14:textId="77777777" w:rsidR="005C1D7B" w:rsidRPr="005C1D7B" w:rsidRDefault="005C1D7B" w:rsidP="005C1D7B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6246F7E3" w14:textId="6B13501A" w:rsidR="002B0A4C" w:rsidRPr="005C1D7B" w:rsidRDefault="002B0A4C" w:rsidP="005C1D7B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sectPr w:rsidR="002B0A4C" w:rsidRPr="005C1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4C"/>
    <w:rsid w:val="000428C7"/>
    <w:rsid w:val="002B0A4C"/>
    <w:rsid w:val="005C1D7B"/>
    <w:rsid w:val="008F552D"/>
    <w:rsid w:val="00956524"/>
    <w:rsid w:val="00BF1B5C"/>
    <w:rsid w:val="00D160DF"/>
    <w:rsid w:val="00E17D10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C23C"/>
  <w15:chartTrackingRefBased/>
  <w15:docId w15:val="{F1BE6B0B-4CF0-477D-BBD0-DA7B712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BF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Fuentedeprrafopredeter"/>
    <w:rsid w:val="00BF1B5C"/>
    <w:rPr>
      <w:rFonts w:ascii="Segoe UI" w:hAnsi="Segoe UI" w:cs="Segoe UI" w:hint="default"/>
      <w:sz w:val="18"/>
      <w:szCs w:val="18"/>
    </w:rPr>
  </w:style>
  <w:style w:type="paragraph" w:customStyle="1" w:styleId="Standard">
    <w:name w:val="Standard"/>
    <w:rsid w:val="00BF1B5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val="es-ES" w:eastAsia="es-ES"/>
    </w:rPr>
  </w:style>
  <w:style w:type="paragraph" w:styleId="Textocomentario">
    <w:name w:val="annotation text"/>
    <w:basedOn w:val="Standard"/>
    <w:link w:val="TextocomentarioCar"/>
    <w:rsid w:val="00E17D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17D10"/>
    <w:rPr>
      <w:rFonts w:ascii="Calibri" w:eastAsia="Calibri" w:hAnsi="Calibri" w:cs="Calibri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rsid w:val="00E17D1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Leyva Moral</dc:creator>
  <cp:keywords/>
  <dc:description/>
  <cp:lastModifiedBy>Juan Leyva Moral</cp:lastModifiedBy>
  <cp:revision>1</cp:revision>
  <dcterms:created xsi:type="dcterms:W3CDTF">2022-06-20T16:27:00Z</dcterms:created>
  <dcterms:modified xsi:type="dcterms:W3CDTF">2022-06-20T17:13:00Z</dcterms:modified>
</cp:coreProperties>
</file>