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55CB" w14:textId="77777777" w:rsidR="003847BF" w:rsidRPr="00D711E3" w:rsidRDefault="003847BF" w:rsidP="003847BF">
      <w:pPr>
        <w:ind w:hanging="567"/>
        <w:rPr>
          <w:sz w:val="18"/>
          <w:szCs w:val="18"/>
        </w:rPr>
      </w:pPr>
      <w:r>
        <w:rPr>
          <w:sz w:val="18"/>
          <w:szCs w:val="18"/>
        </w:rPr>
        <w:t xml:space="preserve">Tabla 3. </w:t>
      </w:r>
      <w:r w:rsidRPr="00D711E3">
        <w:rPr>
          <w:sz w:val="18"/>
          <w:szCs w:val="18"/>
        </w:rPr>
        <w:t>Depresión y trastorno por uso de cocaína</w:t>
      </w:r>
    </w:p>
    <w:p w14:paraId="481A55CC" w14:textId="77777777" w:rsidR="003847BF" w:rsidRPr="00D711E3" w:rsidRDefault="003847BF" w:rsidP="003847BF">
      <w:pPr>
        <w:rPr>
          <w:sz w:val="18"/>
          <w:szCs w:val="18"/>
        </w:rPr>
      </w:pPr>
    </w:p>
    <w:tbl>
      <w:tblPr>
        <w:tblStyle w:val="Tablaconcuadrcula"/>
        <w:tblW w:w="0" w:type="auto"/>
        <w:tblInd w:w="-572" w:type="dxa"/>
        <w:tblLook w:val="04A0" w:firstRow="1" w:lastRow="0" w:firstColumn="1" w:lastColumn="0" w:noHBand="0" w:noVBand="1"/>
      </w:tblPr>
      <w:tblGrid>
        <w:gridCol w:w="1184"/>
        <w:gridCol w:w="1563"/>
        <w:gridCol w:w="1589"/>
        <w:gridCol w:w="969"/>
        <w:gridCol w:w="1608"/>
        <w:gridCol w:w="1257"/>
        <w:gridCol w:w="1468"/>
        <w:gridCol w:w="4928"/>
      </w:tblGrid>
      <w:tr w:rsidR="00F16CBF" w:rsidRPr="00D711E3" w14:paraId="481A55D7" w14:textId="77777777" w:rsidTr="00FA26C9">
        <w:trPr>
          <w:tblHeader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CD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AUTORES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CE" w14:textId="77777777" w:rsidR="003847BF" w:rsidRDefault="003847BF" w:rsidP="003320D2">
            <w:pPr>
              <w:jc w:val="center"/>
              <w:textAlignment w:val="baseline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FÁRMACO UTILIZADO</w:t>
            </w:r>
          </w:p>
          <w:p w14:paraId="481A55CF" w14:textId="77777777" w:rsidR="003847BF" w:rsidRPr="00D711E3" w:rsidRDefault="003847BF" w:rsidP="003320D2">
            <w:pPr>
              <w:jc w:val="center"/>
              <w:textAlignment w:val="baseline"/>
              <w:rPr>
                <w:rFonts w:eastAsia="Times New Roman" w:cs="Arial"/>
                <w:b w:val="0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M</w:t>
            </w: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G/DIA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B9AFF5F" w14:textId="77777777" w:rsidR="00F16CBF" w:rsidRDefault="00F16CBF" w:rsidP="003320D2">
            <w:pPr>
              <w:jc w:val="center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DIAGNOSTICO</w:t>
            </w:r>
            <w:r w:rsidR="003847BF"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/</w:t>
            </w:r>
          </w:p>
          <w:p w14:paraId="481A55D0" w14:textId="5E5B3206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INSTRUMENTO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D1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CASO/ CONTROL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D2" w14:textId="724D30D8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CONSUMO AL INICIO DEL E</w:t>
            </w:r>
            <w:r w:rsidR="00F16CBF">
              <w:rPr>
                <w:sz w:val="18"/>
                <w:szCs w:val="18"/>
              </w:rPr>
              <w:t>CA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D3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SEMANAS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81A55D4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TERAPIA CONCOMITANTE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1A55D5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VARIABLE DE RESULTADO</w:t>
            </w:r>
          </w:p>
          <w:p w14:paraId="481A55D6" w14:textId="77777777" w:rsidR="003847BF" w:rsidRPr="00D711E3" w:rsidRDefault="003847BF" w:rsidP="003320D2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6CBF" w:rsidRPr="00D711E3" w14:paraId="481A55E1" w14:textId="77777777" w:rsidTr="00FA26C9">
        <w:tc>
          <w:tcPr>
            <w:tcW w:w="1184" w:type="dxa"/>
            <w:tcBorders>
              <w:top w:val="single" w:sz="4" w:space="0" w:color="auto"/>
            </w:tcBorders>
          </w:tcPr>
          <w:p w14:paraId="481A55D8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Ziedonis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 1991 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63F04C80" w14:textId="77777777" w:rsidR="003847BF" w:rsidRDefault="003847BF" w:rsidP="003320D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Desipramin</w:t>
            </w:r>
            <w:r w:rsidRPr="00D711E3">
              <w:rPr>
                <w:b w:val="0"/>
                <w:sz w:val="18"/>
                <w:szCs w:val="18"/>
              </w:rPr>
              <w:t>a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>(150) o Amantadina (300)</w:t>
            </w:r>
          </w:p>
          <w:p w14:paraId="481A55D9" w14:textId="21BF5583" w:rsidR="00563CD9" w:rsidRPr="00D711E3" w:rsidRDefault="00563CD9" w:rsidP="003320D2">
            <w:pPr>
              <w:jc w:val="left"/>
              <w:rPr>
                <w:rFonts w:cs="Segoe U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81A55DA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1CB47488" w14:textId="77777777" w:rsidR="003847BF" w:rsidRDefault="00563CD9" w:rsidP="003320D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</w:t>
            </w:r>
            <w:r w:rsidR="003847BF" w:rsidRPr="00D711E3">
              <w:rPr>
                <w:b w:val="0"/>
                <w:sz w:val="18"/>
                <w:szCs w:val="18"/>
              </w:rPr>
              <w:t>/</w:t>
            </w:r>
            <w:r>
              <w:rPr>
                <w:b w:val="0"/>
                <w:sz w:val="18"/>
                <w:szCs w:val="18"/>
              </w:rPr>
              <w:t>33</w:t>
            </w:r>
          </w:p>
          <w:p w14:paraId="2DBA9092" w14:textId="77777777" w:rsidR="00563CD9" w:rsidRDefault="00563CD9" w:rsidP="003320D2">
            <w:pPr>
              <w:rPr>
                <w:b w:val="0"/>
                <w:sz w:val="18"/>
                <w:szCs w:val="18"/>
              </w:rPr>
            </w:pPr>
          </w:p>
          <w:p w14:paraId="2E229A3A" w14:textId="77777777" w:rsidR="00563CD9" w:rsidRDefault="00563CD9" w:rsidP="003320D2">
            <w:pPr>
              <w:rPr>
                <w:b w:val="0"/>
                <w:sz w:val="18"/>
                <w:szCs w:val="18"/>
              </w:rPr>
            </w:pPr>
          </w:p>
          <w:p w14:paraId="481A55DB" w14:textId="4EA3D098" w:rsidR="00563CD9" w:rsidRPr="00D711E3" w:rsidRDefault="00563CD9" w:rsidP="003320D2">
            <w:pPr>
              <w:rPr>
                <w:rFonts w:cs="Segoe U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31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481A55DC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3 días de abstinencia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81A55DD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481A55DE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PMM</w:t>
            </w:r>
          </w:p>
        </w:tc>
        <w:tc>
          <w:tcPr>
            <w:tcW w:w="4928" w:type="dxa"/>
            <w:tcBorders>
              <w:top w:val="single" w:sz="4" w:space="0" w:color="auto"/>
            </w:tcBorders>
          </w:tcPr>
          <w:p w14:paraId="481A55DF" w14:textId="06E31923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CO: Aumento del % de </w:t>
            </w:r>
            <w:r w:rsidR="00FA26C9">
              <w:rPr>
                <w:b w:val="0"/>
                <w:sz w:val="18"/>
                <w:szCs w:val="18"/>
              </w:rPr>
              <w:t>CO negativos</w:t>
            </w:r>
            <w:r w:rsidRPr="00D711E3">
              <w:rPr>
                <w:b w:val="0"/>
                <w:sz w:val="18"/>
                <w:szCs w:val="18"/>
              </w:rPr>
              <w:t xml:space="preserve"> en l</w:t>
            </w:r>
            <w:r w:rsidR="00FA26C9">
              <w:rPr>
                <w:b w:val="0"/>
                <w:sz w:val="18"/>
                <w:szCs w:val="18"/>
              </w:rPr>
              <w:t>a</w:t>
            </w:r>
            <w:r w:rsidRPr="00D711E3">
              <w:rPr>
                <w:b w:val="0"/>
                <w:sz w:val="18"/>
                <w:szCs w:val="18"/>
              </w:rPr>
              <w:t>s últim</w:t>
            </w:r>
            <w:r w:rsidR="00FA26C9">
              <w:rPr>
                <w:b w:val="0"/>
                <w:sz w:val="18"/>
                <w:szCs w:val="18"/>
              </w:rPr>
              <w:t>a</w:t>
            </w:r>
            <w:r w:rsidRPr="00D711E3">
              <w:rPr>
                <w:b w:val="0"/>
                <w:sz w:val="18"/>
                <w:szCs w:val="18"/>
              </w:rPr>
              <w:t>s 2 semanas en el grupo desipramina (42%) frente a los pacientes del grupo P</w:t>
            </w:r>
            <w:r w:rsidR="00FA26C9">
              <w:rPr>
                <w:b w:val="0"/>
                <w:sz w:val="18"/>
                <w:szCs w:val="18"/>
              </w:rPr>
              <w:t>lacebo</w:t>
            </w:r>
            <w:r w:rsidRPr="00D711E3">
              <w:rPr>
                <w:b w:val="0"/>
                <w:sz w:val="18"/>
                <w:szCs w:val="18"/>
              </w:rPr>
              <w:t xml:space="preserve"> (6%) (p &lt;0,01)</w:t>
            </w:r>
          </w:p>
          <w:p w14:paraId="481A55E0" w14:textId="659DA817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BDI: Mejores resultados en </w:t>
            </w:r>
            <w:r w:rsidRPr="00D711E3">
              <w:rPr>
                <w:b w:val="0"/>
                <w:sz w:val="18"/>
                <w:szCs w:val="18"/>
              </w:rPr>
              <w:t xml:space="preserve">BDI en el grupo desipramina (media: 9) que en el grupo </w:t>
            </w:r>
            <w:r w:rsidR="00FA26C9" w:rsidRPr="00D711E3">
              <w:rPr>
                <w:b w:val="0"/>
                <w:sz w:val="18"/>
                <w:szCs w:val="18"/>
              </w:rPr>
              <w:t>P</w:t>
            </w:r>
            <w:r w:rsidR="00FA26C9">
              <w:rPr>
                <w:b w:val="0"/>
                <w:sz w:val="18"/>
                <w:szCs w:val="18"/>
              </w:rPr>
              <w:t>lacebo</w:t>
            </w:r>
            <w:r w:rsidRPr="00D711E3">
              <w:rPr>
                <w:b w:val="0"/>
                <w:sz w:val="18"/>
                <w:szCs w:val="18"/>
              </w:rPr>
              <w:t xml:space="preserve"> (media: 15) </w:t>
            </w:r>
          </w:p>
        </w:tc>
      </w:tr>
      <w:tr w:rsidR="00F16CBF" w:rsidRPr="00D711E3" w14:paraId="481A55EB" w14:textId="77777777" w:rsidTr="00FA26C9">
        <w:tc>
          <w:tcPr>
            <w:tcW w:w="1184" w:type="dxa"/>
          </w:tcPr>
          <w:p w14:paraId="481A55E2" w14:textId="77777777" w:rsidR="003847BF" w:rsidRPr="0068368B" w:rsidRDefault="003847BF" w:rsidP="003320D2">
            <w:pPr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Nunes                1995</w:t>
            </w:r>
          </w:p>
        </w:tc>
        <w:tc>
          <w:tcPr>
            <w:tcW w:w="1563" w:type="dxa"/>
          </w:tcPr>
          <w:p w14:paraId="49842E7F" w14:textId="77777777" w:rsidR="003847BF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Imipramina (150–300)</w:t>
            </w:r>
          </w:p>
          <w:p w14:paraId="481A55E3" w14:textId="1854C52B" w:rsidR="00F16CBF" w:rsidRPr="00D711E3" w:rsidRDefault="00F16CBF" w:rsidP="003320D2">
            <w:pPr>
              <w:rPr>
                <w:rFonts w:cs="Segoe U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589" w:type="dxa"/>
          </w:tcPr>
          <w:p w14:paraId="481A55E4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69" w:type="dxa"/>
          </w:tcPr>
          <w:p w14:paraId="481A55E5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38/31</w:t>
            </w:r>
          </w:p>
        </w:tc>
        <w:tc>
          <w:tcPr>
            <w:tcW w:w="1608" w:type="dxa"/>
          </w:tcPr>
          <w:p w14:paraId="481A55E6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5E7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5E8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D711E3">
              <w:rPr>
                <w:b w:val="0"/>
                <w:sz w:val="18"/>
                <w:szCs w:val="18"/>
              </w:rPr>
              <w:t>Counselling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Individual</w:t>
            </w:r>
          </w:p>
        </w:tc>
        <w:tc>
          <w:tcPr>
            <w:tcW w:w="4928" w:type="dxa"/>
          </w:tcPr>
          <w:p w14:paraId="481A55E9" w14:textId="4D1388B1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C0: aumento no significativo de </w:t>
            </w:r>
            <w:r w:rsidR="00FA26C9">
              <w:rPr>
                <w:rFonts w:cs="Segoe UI"/>
                <w:b w:val="0"/>
                <w:sz w:val="18"/>
                <w:szCs w:val="18"/>
              </w:rPr>
              <w:t>CO negativos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durante tres semanas consecutivas en </w:t>
            </w: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imipramina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(26%) vs. P</w:t>
            </w:r>
            <w:r w:rsidR="00FA26C9">
              <w:rPr>
                <w:rFonts w:cs="Segoe UI"/>
                <w:b w:val="0"/>
                <w:sz w:val="18"/>
                <w:szCs w:val="18"/>
              </w:rPr>
              <w:t>lacebo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(13%)</w:t>
            </w:r>
          </w:p>
          <w:p w14:paraId="481A55EA" w14:textId="77777777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HDRS: Sin efecto en el tratamiento de la depresión </w:t>
            </w:r>
          </w:p>
        </w:tc>
      </w:tr>
      <w:tr w:rsidR="00F16CBF" w:rsidRPr="00D711E3" w14:paraId="481A55F5" w14:textId="77777777" w:rsidTr="00FA26C9">
        <w:tc>
          <w:tcPr>
            <w:tcW w:w="1184" w:type="dxa"/>
          </w:tcPr>
          <w:p w14:paraId="481A55EC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Cornelius 1998</w:t>
            </w:r>
          </w:p>
        </w:tc>
        <w:tc>
          <w:tcPr>
            <w:tcW w:w="1563" w:type="dxa"/>
          </w:tcPr>
          <w:p w14:paraId="1C2F1E4B" w14:textId="6F388121" w:rsidR="003847BF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Fluoxetina (20)</w:t>
            </w:r>
          </w:p>
          <w:p w14:paraId="65BEB6FD" w14:textId="607EE63E" w:rsidR="00FA26C9" w:rsidRDefault="00FA26C9" w:rsidP="003320D2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  <w:p w14:paraId="4E377684" w14:textId="77777777" w:rsidR="00FA26C9" w:rsidRDefault="00FA26C9" w:rsidP="003320D2">
            <w:pPr>
              <w:rPr>
                <w:b w:val="0"/>
                <w:sz w:val="18"/>
                <w:szCs w:val="18"/>
              </w:rPr>
            </w:pPr>
          </w:p>
          <w:p w14:paraId="481A55ED" w14:textId="56A9E15C" w:rsidR="00FA26C9" w:rsidRPr="00D711E3" w:rsidRDefault="00FA26C9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81A55EE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69" w:type="dxa"/>
          </w:tcPr>
          <w:p w14:paraId="481A55EF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8/9</w:t>
            </w:r>
          </w:p>
        </w:tc>
        <w:tc>
          <w:tcPr>
            <w:tcW w:w="1608" w:type="dxa"/>
          </w:tcPr>
          <w:p w14:paraId="481A55F0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±9 días de abstinencia</w:t>
            </w:r>
          </w:p>
        </w:tc>
        <w:tc>
          <w:tcPr>
            <w:tcW w:w="1257" w:type="dxa"/>
          </w:tcPr>
          <w:p w14:paraId="481A55F1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5F2" w14:textId="01771AA5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Terapia de </w:t>
            </w:r>
            <w:r w:rsidR="00FA26C9">
              <w:rPr>
                <w:b w:val="0"/>
                <w:sz w:val="18"/>
                <w:szCs w:val="18"/>
              </w:rPr>
              <w:t>apoyo</w:t>
            </w:r>
          </w:p>
        </w:tc>
        <w:tc>
          <w:tcPr>
            <w:tcW w:w="4928" w:type="dxa"/>
          </w:tcPr>
          <w:p w14:paraId="481A55F3" w14:textId="5FC75921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CO, ASI, TLFB, AR: No se observaron diferencias significativas en el consumo de cocaína</w:t>
            </w:r>
            <w:r w:rsidR="00FA3C8A">
              <w:rPr>
                <w:rFonts w:cs="Segoe UI"/>
                <w:b w:val="0"/>
                <w:sz w:val="18"/>
                <w:szCs w:val="18"/>
              </w:rPr>
              <w:t xml:space="preserve"> intra o </w:t>
            </w:r>
            <w:proofErr w:type="spellStart"/>
            <w:r w:rsidR="00FA3C8A">
              <w:rPr>
                <w:rFonts w:cs="Segoe UI"/>
                <w:b w:val="0"/>
                <w:sz w:val="18"/>
                <w:szCs w:val="18"/>
              </w:rPr>
              <w:t>intergrupos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>.</w:t>
            </w:r>
          </w:p>
          <w:p w14:paraId="481A55F4" w14:textId="079E2693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BDI: La puntuación media en BDI empeoró 2,2 puntos en P</w:t>
            </w:r>
            <w:r w:rsidR="00FA3C8A">
              <w:rPr>
                <w:rFonts w:cs="Segoe UI"/>
                <w:b w:val="0"/>
                <w:sz w:val="18"/>
                <w:szCs w:val="18"/>
              </w:rPr>
              <w:t>lacebo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y mejoró 3,9 puntos en fluoxetina, sin significación estadística. </w:t>
            </w:r>
          </w:p>
        </w:tc>
      </w:tr>
      <w:tr w:rsidR="00F16CBF" w:rsidRPr="00D711E3" w14:paraId="481A55FF" w14:textId="77777777" w:rsidTr="00FA26C9">
        <w:trPr>
          <w:trHeight w:val="1239"/>
        </w:trPr>
        <w:tc>
          <w:tcPr>
            <w:tcW w:w="1184" w:type="dxa"/>
          </w:tcPr>
          <w:p w14:paraId="481A55F6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Schmitz    2001</w:t>
            </w:r>
          </w:p>
        </w:tc>
        <w:tc>
          <w:tcPr>
            <w:tcW w:w="1563" w:type="dxa"/>
          </w:tcPr>
          <w:p w14:paraId="481A55F7" w14:textId="77777777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Fluoxetina (40) Placebo</w:t>
            </w:r>
          </w:p>
        </w:tc>
        <w:tc>
          <w:tcPr>
            <w:tcW w:w="1589" w:type="dxa"/>
          </w:tcPr>
          <w:p w14:paraId="481A55F8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DSM-IV/SCID</w:t>
            </w:r>
          </w:p>
        </w:tc>
        <w:tc>
          <w:tcPr>
            <w:tcW w:w="969" w:type="dxa"/>
          </w:tcPr>
          <w:p w14:paraId="481A55F9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34/34</w:t>
            </w:r>
          </w:p>
        </w:tc>
        <w:tc>
          <w:tcPr>
            <w:tcW w:w="1608" w:type="dxa"/>
          </w:tcPr>
          <w:p w14:paraId="481A55FA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5FB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5FC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TCC y prevención de recaídas </w:t>
            </w:r>
          </w:p>
        </w:tc>
        <w:tc>
          <w:tcPr>
            <w:tcW w:w="4928" w:type="dxa"/>
          </w:tcPr>
          <w:p w14:paraId="481A55FD" w14:textId="61942162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 xml:space="preserve">CO: No diferencias significativas en </w:t>
            </w:r>
            <w:r w:rsidR="00FA3C8A">
              <w:rPr>
                <w:rFonts w:cs="Times"/>
                <w:b w:val="0"/>
                <w:sz w:val="18"/>
                <w:szCs w:val="18"/>
              </w:rPr>
              <w:t>CO negativos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 al final del tratamiento entre ambos grupos</w:t>
            </w:r>
          </w:p>
          <w:p w14:paraId="481A55FE" w14:textId="77777777" w:rsidR="003847BF" w:rsidRPr="00D711E3" w:rsidRDefault="003847BF" w:rsidP="00FA3C8A">
            <w:pPr>
              <w:widowControl w:val="0"/>
              <w:autoSpaceDE w:val="0"/>
              <w:autoSpaceDN w:val="0"/>
              <w:adjustRightInd w:val="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 xml:space="preserve">HAMD: Los síntomas depresivos remiten como una función del tiempo en tratamiento, sin diferencias significativas. </w:t>
            </w:r>
          </w:p>
        </w:tc>
      </w:tr>
      <w:tr w:rsidR="00F16CBF" w:rsidRPr="00D711E3" w14:paraId="481A5618" w14:textId="77777777" w:rsidTr="00FA26C9">
        <w:tc>
          <w:tcPr>
            <w:tcW w:w="1184" w:type="dxa"/>
          </w:tcPr>
          <w:p w14:paraId="481A560A" w14:textId="77777777" w:rsidR="003847BF" w:rsidRPr="0068368B" w:rsidRDefault="003847BF" w:rsidP="003320D2">
            <w:pPr>
              <w:jc w:val="left"/>
              <w:rPr>
                <w:rFonts w:cs="Segoe UI"/>
                <w:b w:val="0"/>
                <w:sz w:val="18"/>
                <w:szCs w:val="18"/>
              </w:rPr>
            </w:pPr>
            <w:r w:rsidRPr="0068368B">
              <w:rPr>
                <w:rFonts w:cs="Segoe UI"/>
                <w:b w:val="0"/>
                <w:sz w:val="18"/>
                <w:szCs w:val="18"/>
              </w:rPr>
              <w:t>Mc Dowell 2005</w:t>
            </w:r>
          </w:p>
        </w:tc>
        <w:tc>
          <w:tcPr>
            <w:tcW w:w="1563" w:type="dxa"/>
          </w:tcPr>
          <w:p w14:paraId="4CDF5E10" w14:textId="77777777" w:rsidR="00FA26C9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gramStart"/>
            <w:r w:rsidRPr="00D711E3">
              <w:rPr>
                <w:rFonts w:cs="Segoe UI"/>
                <w:b w:val="0"/>
                <w:sz w:val="18"/>
                <w:szCs w:val="18"/>
              </w:rPr>
              <w:t>Desipramina  (</w:t>
            </w:r>
            <w:proofErr w:type="gram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300) </w:t>
            </w:r>
          </w:p>
          <w:p w14:paraId="481A560B" w14:textId="7F53CCA9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Placebo </w:t>
            </w:r>
          </w:p>
          <w:p w14:paraId="481A560C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81A560D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DSM-III-R /SCID, consulta con 2 expertos</w:t>
            </w:r>
          </w:p>
          <w:p w14:paraId="481A560E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0F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55/56</w:t>
            </w:r>
          </w:p>
          <w:p w14:paraId="481A5610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81A5611" w14:textId="77777777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  <w:p w14:paraId="481A5612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81A5613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614" w14:textId="7777777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TCC y prevención de recaídas</w:t>
            </w:r>
          </w:p>
          <w:p w14:paraId="481A5615" w14:textId="7777777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4928" w:type="dxa"/>
          </w:tcPr>
          <w:p w14:paraId="481A5616" w14:textId="05250B43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TLFB, CO: Los grupos de tratamiento no mostraron diferencias en la tasa de respuesta.</w:t>
            </w:r>
          </w:p>
          <w:p w14:paraId="481A5617" w14:textId="6CE63638" w:rsidR="003847BF" w:rsidRPr="00D711E3" w:rsidRDefault="003847BF" w:rsidP="00FA3C8A">
            <w:pPr>
              <w:widowControl w:val="0"/>
              <w:autoSpaceDE w:val="0"/>
              <w:autoSpaceDN w:val="0"/>
              <w:adjustRightInd w:val="0"/>
              <w:rPr>
                <w:rFonts w:cs="Times"/>
                <w:b w:val="0"/>
                <w:sz w:val="18"/>
                <w:szCs w:val="18"/>
              </w:rPr>
            </w:pPr>
            <w:r>
              <w:rPr>
                <w:rFonts w:cs="Times"/>
                <w:b w:val="0"/>
                <w:sz w:val="18"/>
                <w:szCs w:val="18"/>
              </w:rPr>
              <w:t>CGI, HAMD: Desipramina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 se asoció c</w:t>
            </w:r>
            <w:r>
              <w:rPr>
                <w:rFonts w:cs="Times"/>
                <w:b w:val="0"/>
                <w:sz w:val="18"/>
                <w:szCs w:val="18"/>
              </w:rPr>
              <w:t xml:space="preserve">on una mayor tasa de respuesta </w:t>
            </w:r>
            <w:r w:rsidR="00FA3C8A">
              <w:rPr>
                <w:rFonts w:cs="Times"/>
                <w:b w:val="0"/>
                <w:sz w:val="18"/>
                <w:szCs w:val="18"/>
              </w:rPr>
              <w:t>en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 los síntomas depresivos (51%, 28/55) que el placebo (32%, 18/56) (p &lt;0,05).</w:t>
            </w:r>
          </w:p>
        </w:tc>
      </w:tr>
      <w:tr w:rsidR="00F16CBF" w:rsidRPr="00D711E3" w14:paraId="481A5626" w14:textId="77777777" w:rsidTr="00FA26C9">
        <w:tc>
          <w:tcPr>
            <w:tcW w:w="1184" w:type="dxa"/>
          </w:tcPr>
          <w:p w14:paraId="481A5619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Ciraulo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  2005</w:t>
            </w:r>
          </w:p>
        </w:tc>
        <w:tc>
          <w:tcPr>
            <w:tcW w:w="1563" w:type="dxa"/>
          </w:tcPr>
          <w:p w14:paraId="481A561A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(200</w:t>
            </w:r>
            <w:proofErr w:type="gramStart"/>
            <w:r w:rsidRPr="00D711E3">
              <w:rPr>
                <w:rFonts w:cs="Segoe UI"/>
                <w:b w:val="0"/>
                <w:sz w:val="18"/>
                <w:szCs w:val="18"/>
              </w:rPr>
              <w:t>)  Placebo</w:t>
            </w:r>
            <w:proofErr w:type="gram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</w:t>
            </w:r>
          </w:p>
          <w:p w14:paraId="481A561B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81A561C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DSM-IV</w:t>
            </w:r>
          </w:p>
          <w:p w14:paraId="481A561D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1E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34/ 35</w:t>
            </w:r>
          </w:p>
          <w:p w14:paraId="481A561F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81A5620" w14:textId="77777777" w:rsidR="003847BF" w:rsidRPr="00D711E3" w:rsidRDefault="003847BF" w:rsidP="003320D2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  <w:p w14:paraId="481A5621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81A5622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8</w:t>
            </w:r>
          </w:p>
        </w:tc>
        <w:tc>
          <w:tcPr>
            <w:tcW w:w="1468" w:type="dxa"/>
          </w:tcPr>
          <w:p w14:paraId="481A5623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Counseling</w:t>
            </w:r>
            <w:proofErr w:type="spellEnd"/>
          </w:p>
        </w:tc>
        <w:tc>
          <w:tcPr>
            <w:tcW w:w="4928" w:type="dxa"/>
          </w:tcPr>
          <w:p w14:paraId="481A5624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CO: Promedio semanal de </w:t>
            </w: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benzoilecgonina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disminuyó más rápidamente en el grupo </w:t>
            </w:r>
            <w:proofErr w:type="spellStart"/>
            <w:r w:rsidRPr="00D711E3">
              <w:rPr>
                <w:rFonts w:cs="Segoe UI"/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rFonts w:cs="Segoe UI"/>
                <w:b w:val="0"/>
                <w:sz w:val="18"/>
                <w:szCs w:val="18"/>
              </w:rPr>
              <w:t xml:space="preserve"> que en el grupo placebo.</w:t>
            </w:r>
          </w:p>
          <w:p w14:paraId="481A5625" w14:textId="72E0FB42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Ambos </w:t>
            </w:r>
            <w:r w:rsidR="00FA3C8A">
              <w:rPr>
                <w:rFonts w:cs="Segoe UI"/>
                <w:b w:val="0"/>
                <w:sz w:val="18"/>
                <w:szCs w:val="18"/>
              </w:rPr>
              <w:t>g</w:t>
            </w:r>
            <w:r w:rsidRPr="00D711E3">
              <w:rPr>
                <w:rFonts w:cs="Segoe UI"/>
                <w:b w:val="0"/>
                <w:sz w:val="18"/>
                <w:szCs w:val="18"/>
              </w:rPr>
              <w:t>rupos tuvieron una mejora equivalente en el estado de ánimo.</w:t>
            </w:r>
          </w:p>
        </w:tc>
      </w:tr>
      <w:tr w:rsidR="00F16CBF" w:rsidRPr="00D711E3" w14:paraId="481A5632" w14:textId="77777777" w:rsidTr="00FA26C9">
        <w:tc>
          <w:tcPr>
            <w:tcW w:w="1184" w:type="dxa"/>
          </w:tcPr>
          <w:p w14:paraId="481A5627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Asphar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  2012</w:t>
            </w:r>
          </w:p>
        </w:tc>
        <w:tc>
          <w:tcPr>
            <w:tcW w:w="1563" w:type="dxa"/>
          </w:tcPr>
          <w:p w14:paraId="481A5628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Mirtazapina (45) Placebo</w:t>
            </w:r>
          </w:p>
        </w:tc>
        <w:tc>
          <w:tcPr>
            <w:tcW w:w="1589" w:type="dxa"/>
          </w:tcPr>
          <w:p w14:paraId="481A5629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DSM-IV</w:t>
            </w:r>
          </w:p>
          <w:p w14:paraId="481A562A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2B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11/13</w:t>
            </w:r>
          </w:p>
          <w:p w14:paraId="481A562C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81A562D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62E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62F" w14:textId="0D4500C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Prevención de recaídas</w:t>
            </w:r>
          </w:p>
        </w:tc>
        <w:tc>
          <w:tcPr>
            <w:tcW w:w="4928" w:type="dxa"/>
          </w:tcPr>
          <w:p w14:paraId="481A5630" w14:textId="072E8DCD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CO / AR: El consumo de cocaína durante el periodo de tratamiento no difirió significativamente entre los grupos mirtazapina y placebo.</w:t>
            </w:r>
          </w:p>
          <w:p w14:paraId="481A5631" w14:textId="207613E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lastRenderedPageBreak/>
              <w:t xml:space="preserve">HAMD: </w:t>
            </w:r>
            <w:r w:rsidR="00FA3C8A">
              <w:rPr>
                <w:rFonts w:cs="Segoe UI"/>
                <w:b w:val="0"/>
                <w:sz w:val="18"/>
                <w:szCs w:val="18"/>
              </w:rPr>
              <w:t>R</w:t>
            </w:r>
            <w:r w:rsidRPr="00D711E3">
              <w:rPr>
                <w:rFonts w:cs="Segoe UI"/>
                <w:b w:val="0"/>
                <w:sz w:val="18"/>
                <w:szCs w:val="18"/>
              </w:rPr>
              <w:t>educción significativa en la semana 1 en las puntuaciones HAMD, tanto para la mirtazapina [p = 0,002] como para el grupo placebo [p = 0,005].</w:t>
            </w:r>
          </w:p>
        </w:tc>
      </w:tr>
      <w:tr w:rsidR="00F16CBF" w:rsidRPr="00D711E3" w14:paraId="481A563E" w14:textId="77777777" w:rsidTr="00FA26C9">
        <w:tc>
          <w:tcPr>
            <w:tcW w:w="1184" w:type="dxa"/>
          </w:tcPr>
          <w:p w14:paraId="481A5633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lastRenderedPageBreak/>
              <w:t>Oliveto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  2012</w:t>
            </w:r>
          </w:p>
        </w:tc>
        <w:tc>
          <w:tcPr>
            <w:tcW w:w="1563" w:type="dxa"/>
          </w:tcPr>
          <w:p w14:paraId="481A5634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Sertralina (200) Placebo</w:t>
            </w:r>
          </w:p>
        </w:tc>
        <w:tc>
          <w:tcPr>
            <w:tcW w:w="1589" w:type="dxa"/>
          </w:tcPr>
          <w:p w14:paraId="481A5635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DSM-IV (SCID)</w:t>
            </w:r>
          </w:p>
          <w:p w14:paraId="481A5636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37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32/27</w:t>
            </w:r>
          </w:p>
          <w:p w14:paraId="481A5638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81A5639" w14:textId="7777777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63A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63B" w14:textId="74750ED1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TCC</w:t>
            </w:r>
          </w:p>
        </w:tc>
        <w:tc>
          <w:tcPr>
            <w:tcW w:w="4928" w:type="dxa"/>
          </w:tcPr>
          <w:p w14:paraId="481A563C" w14:textId="744BAE8E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CO/AR: 19 (70,3%)</w:t>
            </w:r>
            <w:r w:rsidR="00FA3C8A">
              <w:rPr>
                <w:rFonts w:cs="Times"/>
                <w:b w:val="0"/>
                <w:sz w:val="18"/>
                <w:szCs w:val="18"/>
              </w:rPr>
              <w:t xml:space="preserve"> placebo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 y 17 (53,1%)</w:t>
            </w:r>
            <w:r w:rsidR="00FA3C8A">
              <w:rPr>
                <w:rFonts w:cs="Times"/>
                <w:b w:val="0"/>
                <w:sz w:val="18"/>
                <w:szCs w:val="18"/>
              </w:rPr>
              <w:t xml:space="preserve"> sertralina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 experimentaron una recaída en el consum</w:t>
            </w:r>
            <w:r w:rsidR="00FA3C8A">
              <w:rPr>
                <w:rFonts w:cs="Times"/>
                <w:b w:val="0"/>
                <w:sz w:val="18"/>
                <w:szCs w:val="18"/>
              </w:rPr>
              <w:t>o</w:t>
            </w:r>
            <w:r w:rsidRPr="00D711E3">
              <w:rPr>
                <w:rFonts w:cs="Times"/>
                <w:b w:val="0"/>
                <w:sz w:val="18"/>
                <w:szCs w:val="18"/>
              </w:rPr>
              <w:t xml:space="preserve">. </w:t>
            </w:r>
          </w:p>
          <w:p w14:paraId="481A563D" w14:textId="0A2C12CC" w:rsidR="003847BF" w:rsidRPr="00D711E3" w:rsidRDefault="003847BF" w:rsidP="00FA3C8A">
            <w:pPr>
              <w:widowControl w:val="0"/>
              <w:autoSpaceDE w:val="0"/>
              <w:autoSpaceDN w:val="0"/>
              <w:adjustRightInd w:val="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HAMD: Las puntuaciones disminuyeron significativamente con el tiempo (p &lt;0,0001), pero sin diferencias entre los grupos (</w:t>
            </w:r>
            <w:r w:rsidR="00FA3C8A">
              <w:rPr>
                <w:rFonts w:cs="Times"/>
                <w:b w:val="0"/>
                <w:sz w:val="18"/>
                <w:szCs w:val="18"/>
              </w:rPr>
              <w:t>p=</w:t>
            </w:r>
            <w:r w:rsidRPr="00D711E3">
              <w:rPr>
                <w:rFonts w:cs="Times"/>
                <w:b w:val="0"/>
                <w:sz w:val="18"/>
                <w:szCs w:val="18"/>
              </w:rPr>
              <w:t>0,77).</w:t>
            </w:r>
          </w:p>
        </w:tc>
      </w:tr>
      <w:tr w:rsidR="00F16CBF" w:rsidRPr="00D711E3" w14:paraId="481A564A" w14:textId="77777777" w:rsidTr="00FA26C9">
        <w:tc>
          <w:tcPr>
            <w:tcW w:w="1184" w:type="dxa"/>
          </w:tcPr>
          <w:p w14:paraId="481A563F" w14:textId="77777777" w:rsidR="003847BF" w:rsidRPr="0068368B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Mancino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2014</w:t>
            </w:r>
          </w:p>
        </w:tc>
        <w:tc>
          <w:tcPr>
            <w:tcW w:w="1563" w:type="dxa"/>
          </w:tcPr>
          <w:p w14:paraId="481A5640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Sertralina (200) Placebo</w:t>
            </w:r>
          </w:p>
        </w:tc>
        <w:tc>
          <w:tcPr>
            <w:tcW w:w="1589" w:type="dxa"/>
          </w:tcPr>
          <w:p w14:paraId="481A5641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DSM-IV (SCID)</w:t>
            </w:r>
          </w:p>
          <w:p w14:paraId="481A5642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43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23/27</w:t>
            </w:r>
          </w:p>
          <w:p w14:paraId="481A5644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608" w:type="dxa"/>
          </w:tcPr>
          <w:p w14:paraId="481A5645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646" w14:textId="77777777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647" w14:textId="51F502CA" w:rsidR="003847BF" w:rsidRPr="00D711E3" w:rsidRDefault="003847BF" w:rsidP="003320D2">
            <w:pPr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TCC</w:t>
            </w:r>
          </w:p>
        </w:tc>
        <w:tc>
          <w:tcPr>
            <w:tcW w:w="4928" w:type="dxa"/>
          </w:tcPr>
          <w:p w14:paraId="481A5648" w14:textId="6AC434D5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 xml:space="preserve">CO: La sertralina mostró un porcentaje global significativamente menor de muestras de orina positivas en comparación con placebo. </w:t>
            </w:r>
          </w:p>
          <w:p w14:paraId="481A5649" w14:textId="77777777" w:rsidR="003847BF" w:rsidRPr="00D711E3" w:rsidRDefault="003847BF" w:rsidP="00FA3C8A">
            <w:pPr>
              <w:widowControl w:val="0"/>
              <w:autoSpaceDE w:val="0"/>
              <w:autoSpaceDN w:val="0"/>
              <w:adjustRightInd w:val="0"/>
              <w:rPr>
                <w:rFonts w:cs="Times"/>
                <w:b w:val="0"/>
                <w:sz w:val="18"/>
                <w:szCs w:val="18"/>
              </w:rPr>
            </w:pPr>
            <w:r w:rsidRPr="00D711E3">
              <w:rPr>
                <w:rFonts w:cs="Times"/>
                <w:b w:val="0"/>
                <w:sz w:val="18"/>
                <w:szCs w:val="18"/>
              </w:rPr>
              <w:t>HAMD: las puntuaciones de depresión disminuyeron significativamente con el tiempo independientemente del grupo de tratamiento.</w:t>
            </w:r>
          </w:p>
        </w:tc>
      </w:tr>
      <w:tr w:rsidR="00F16CBF" w:rsidRPr="00D711E3" w14:paraId="481A5658" w14:textId="77777777" w:rsidTr="00FA26C9">
        <w:tc>
          <w:tcPr>
            <w:tcW w:w="1184" w:type="dxa"/>
          </w:tcPr>
          <w:p w14:paraId="481A564B" w14:textId="77777777" w:rsidR="003847BF" w:rsidRPr="0068368B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proofErr w:type="spellStart"/>
            <w:r w:rsidRPr="0068368B">
              <w:rPr>
                <w:rFonts w:cs="Segoe UI"/>
                <w:b w:val="0"/>
                <w:sz w:val="18"/>
                <w:szCs w:val="18"/>
              </w:rPr>
              <w:t>Raby</w:t>
            </w:r>
            <w:proofErr w:type="spellEnd"/>
            <w:r w:rsidRPr="0068368B">
              <w:rPr>
                <w:rFonts w:cs="Segoe UI"/>
                <w:b w:val="0"/>
                <w:sz w:val="18"/>
                <w:szCs w:val="18"/>
              </w:rPr>
              <w:t xml:space="preserve">        2014</w:t>
            </w:r>
          </w:p>
        </w:tc>
        <w:tc>
          <w:tcPr>
            <w:tcW w:w="1563" w:type="dxa"/>
          </w:tcPr>
          <w:p w14:paraId="31FAB995" w14:textId="77777777" w:rsidR="00FA26C9" w:rsidRDefault="003847BF" w:rsidP="00FA26C9">
            <w:pPr>
              <w:widowControl w:val="0"/>
              <w:autoSpaceDE w:val="0"/>
              <w:autoSpaceDN w:val="0"/>
              <w:adjustRightInd w:val="0"/>
              <w:ind w:right="284"/>
              <w:rPr>
                <w:rFonts w:eastAsiaTheme="minorEastAsia" w:cs="Times"/>
                <w:b w:val="0"/>
                <w:sz w:val="18"/>
                <w:szCs w:val="18"/>
              </w:rPr>
            </w:pPr>
            <w:r>
              <w:rPr>
                <w:rFonts w:eastAsiaTheme="minorEastAsia" w:cs="Times"/>
                <w:b w:val="0"/>
                <w:sz w:val="18"/>
                <w:szCs w:val="18"/>
              </w:rPr>
              <w:t>Venlafaxina</w:t>
            </w:r>
            <w:r w:rsidRPr="00D711E3">
              <w:rPr>
                <w:rFonts w:eastAsiaTheme="minorEastAsia" w:cs="Times"/>
                <w:b w:val="0"/>
                <w:sz w:val="18"/>
                <w:szCs w:val="18"/>
              </w:rPr>
              <w:t xml:space="preserve"> (300)</w:t>
            </w:r>
          </w:p>
          <w:p w14:paraId="481A564D" w14:textId="522008B4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ind w:right="284"/>
              <w:rPr>
                <w:rFonts w:eastAsiaTheme="minorEastAsia" w:cs="Times"/>
                <w:b w:val="0"/>
                <w:sz w:val="18"/>
                <w:szCs w:val="18"/>
              </w:rPr>
            </w:pPr>
            <w:r w:rsidRPr="00D711E3">
              <w:rPr>
                <w:rFonts w:eastAsiaTheme="minorEastAsia" w:cs="Times"/>
                <w:b w:val="0"/>
                <w:sz w:val="18"/>
                <w:szCs w:val="18"/>
              </w:rPr>
              <w:t>Placebo</w:t>
            </w:r>
          </w:p>
          <w:p w14:paraId="481A564E" w14:textId="77777777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81A564F" w14:textId="7777777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ind w:right="284"/>
              <w:rPr>
                <w:rFonts w:eastAsiaTheme="minorEastAsia" w:cs="Times"/>
                <w:b w:val="0"/>
                <w:sz w:val="18"/>
                <w:szCs w:val="18"/>
              </w:rPr>
            </w:pPr>
            <w:r w:rsidRPr="00D711E3">
              <w:rPr>
                <w:rFonts w:eastAsiaTheme="minorEastAsia" w:cs="Times"/>
                <w:b w:val="0"/>
                <w:sz w:val="18"/>
                <w:szCs w:val="18"/>
              </w:rPr>
              <w:t>DSM</w:t>
            </w:r>
            <w:r w:rsidRPr="00D711E3">
              <w:rPr>
                <w:rFonts w:eastAsiaTheme="minorEastAsia" w:cs="Noteworthy Light"/>
                <w:b w:val="0"/>
                <w:sz w:val="18"/>
                <w:szCs w:val="18"/>
              </w:rPr>
              <w:t>‐</w:t>
            </w:r>
            <w:r w:rsidRPr="00D711E3">
              <w:rPr>
                <w:rFonts w:eastAsiaTheme="minorEastAsia" w:cs="Times"/>
                <w:b w:val="0"/>
                <w:sz w:val="18"/>
                <w:szCs w:val="18"/>
              </w:rPr>
              <w:t xml:space="preserve">IIIR/ SCID </w:t>
            </w:r>
          </w:p>
          <w:p w14:paraId="481A5650" w14:textId="77777777" w:rsidR="003847BF" w:rsidRPr="00D711E3" w:rsidRDefault="003847BF" w:rsidP="003320D2">
            <w:pPr>
              <w:widowControl w:val="0"/>
              <w:autoSpaceDE w:val="0"/>
              <w:autoSpaceDN w:val="0"/>
              <w:adjustRightInd w:val="0"/>
              <w:spacing w:after="240"/>
              <w:ind w:right="284"/>
              <w:rPr>
                <w:rFonts w:eastAsiaTheme="minorEastAsia" w:cs="Times"/>
                <w:b w:val="0"/>
                <w:sz w:val="18"/>
                <w:szCs w:val="18"/>
              </w:rPr>
            </w:pPr>
          </w:p>
          <w:p w14:paraId="481A5651" w14:textId="77777777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969" w:type="dxa"/>
          </w:tcPr>
          <w:p w14:paraId="481A5652" w14:textId="77777777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66/66</w:t>
            </w:r>
          </w:p>
        </w:tc>
        <w:tc>
          <w:tcPr>
            <w:tcW w:w="1608" w:type="dxa"/>
          </w:tcPr>
          <w:p w14:paraId="481A5653" w14:textId="77777777" w:rsidR="003847BF" w:rsidRPr="00D711E3" w:rsidRDefault="003847BF" w:rsidP="003320D2">
            <w:pPr>
              <w:ind w:right="284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1257" w:type="dxa"/>
          </w:tcPr>
          <w:p w14:paraId="481A5654" w14:textId="77777777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481A5655" w14:textId="5776026F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Prevención de recaídas </w:t>
            </w:r>
          </w:p>
        </w:tc>
        <w:tc>
          <w:tcPr>
            <w:tcW w:w="4928" w:type="dxa"/>
          </w:tcPr>
          <w:p w14:paraId="481A5656" w14:textId="58B558BB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>CO: No se encontraron diferencias entre los grupos de tratamiento</w:t>
            </w:r>
            <w:r w:rsidR="00FA3C8A">
              <w:rPr>
                <w:rFonts w:cs="Segoe UI"/>
                <w:b w:val="0"/>
                <w:sz w:val="18"/>
                <w:szCs w:val="18"/>
              </w:rPr>
              <w:t>. L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a proporción de pacientes que alcanzaron tres o más semanas consecutivas de abstinencia confirmadas en orina fue baja (venlafaxina: 16%; placebo: 15%). </w:t>
            </w:r>
          </w:p>
          <w:p w14:paraId="481A5657" w14:textId="4F9ADA6A" w:rsidR="003847BF" w:rsidRPr="00D711E3" w:rsidRDefault="003847BF" w:rsidP="003320D2">
            <w:pPr>
              <w:ind w:right="284"/>
              <w:rPr>
                <w:rFonts w:cs="Segoe UI"/>
                <w:b w:val="0"/>
                <w:sz w:val="18"/>
                <w:szCs w:val="18"/>
              </w:rPr>
            </w:pPr>
            <w:r w:rsidRPr="00D711E3">
              <w:rPr>
                <w:rFonts w:cs="Segoe UI"/>
                <w:b w:val="0"/>
                <w:sz w:val="18"/>
                <w:szCs w:val="18"/>
              </w:rPr>
              <w:t xml:space="preserve">HAMD: La </w:t>
            </w:r>
            <w:r w:rsidR="00FA3C8A">
              <w:rPr>
                <w:rFonts w:cs="Segoe UI"/>
                <w:b w:val="0"/>
                <w:sz w:val="18"/>
                <w:szCs w:val="18"/>
              </w:rPr>
              <w:t>mejoría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 del estado de ánimo</w:t>
            </w:r>
            <w:r w:rsidR="00FA3C8A">
              <w:rPr>
                <w:rFonts w:cs="Segoe UI"/>
                <w:b w:val="0"/>
                <w:sz w:val="18"/>
                <w:szCs w:val="18"/>
              </w:rPr>
              <w:t xml:space="preserve"> </w:t>
            </w:r>
            <w:r w:rsidRPr="00D711E3">
              <w:rPr>
                <w:rFonts w:cs="Segoe UI"/>
                <w:b w:val="0"/>
                <w:sz w:val="18"/>
                <w:szCs w:val="18"/>
              </w:rPr>
              <w:t xml:space="preserve">fue del 41% (26/64) en el grupo venlafaxina, y el 33% (22/66) en el grupo placebo. </w:t>
            </w:r>
          </w:p>
        </w:tc>
      </w:tr>
    </w:tbl>
    <w:p w14:paraId="481A5659" w14:textId="1636029C" w:rsidR="003847BF" w:rsidRPr="0024264D" w:rsidRDefault="00FA26C9" w:rsidP="00692F69">
      <w:pPr>
        <w:widowControl w:val="0"/>
        <w:autoSpaceDE w:val="0"/>
        <w:autoSpaceDN w:val="0"/>
        <w:adjustRightInd w:val="0"/>
        <w:spacing w:after="240"/>
        <w:ind w:left="-426" w:right="284"/>
        <w:rPr>
          <w:rFonts w:cs="Times"/>
          <w:b w:val="0"/>
          <w:sz w:val="18"/>
          <w:szCs w:val="18"/>
          <w:lang w:val="es-ES"/>
        </w:rPr>
      </w:pPr>
      <w:r w:rsidRPr="0024264D">
        <w:rPr>
          <w:rFonts w:cs="Times"/>
          <w:b w:val="0"/>
          <w:sz w:val="18"/>
          <w:szCs w:val="18"/>
        </w:rPr>
        <w:t xml:space="preserve">AR: Consumo de cocaína auto informado; </w:t>
      </w:r>
      <w:proofErr w:type="spellStart"/>
      <w:proofErr w:type="gramStart"/>
      <w:r w:rsidRPr="0024264D">
        <w:rPr>
          <w:rFonts w:cs="Times"/>
          <w:b w:val="0"/>
          <w:sz w:val="18"/>
          <w:szCs w:val="18"/>
        </w:rPr>
        <w:t>ASI:addiction</w:t>
      </w:r>
      <w:proofErr w:type="spellEnd"/>
      <w:proofErr w:type="gramEnd"/>
      <w:r w:rsidRPr="0024264D">
        <w:rPr>
          <w:rFonts w:cs="Times"/>
          <w:b w:val="0"/>
          <w:sz w:val="18"/>
          <w:szCs w:val="18"/>
        </w:rPr>
        <w:t xml:space="preserve"> </w:t>
      </w:r>
      <w:proofErr w:type="spellStart"/>
      <w:r w:rsidRPr="0024264D">
        <w:rPr>
          <w:rFonts w:cs="Times"/>
          <w:b w:val="0"/>
          <w:sz w:val="18"/>
          <w:szCs w:val="18"/>
        </w:rPr>
        <w:t>severity</w:t>
      </w:r>
      <w:proofErr w:type="spellEnd"/>
      <w:r w:rsidRPr="0024264D">
        <w:rPr>
          <w:rFonts w:cs="Times"/>
          <w:b w:val="0"/>
          <w:sz w:val="18"/>
          <w:szCs w:val="18"/>
        </w:rPr>
        <w:t xml:space="preserve"> </w:t>
      </w:r>
      <w:proofErr w:type="spellStart"/>
      <w:r w:rsidRPr="0024264D">
        <w:rPr>
          <w:rFonts w:cs="Times"/>
          <w:b w:val="0"/>
          <w:sz w:val="18"/>
          <w:szCs w:val="18"/>
        </w:rPr>
        <w:t>index</w:t>
      </w:r>
      <w:proofErr w:type="spellEnd"/>
      <w:r w:rsidRPr="0024264D">
        <w:rPr>
          <w:rFonts w:cs="Times"/>
          <w:b w:val="0"/>
          <w:sz w:val="18"/>
          <w:szCs w:val="18"/>
        </w:rPr>
        <w:t xml:space="preserve">; </w:t>
      </w:r>
      <w:r w:rsidRPr="0024264D">
        <w:rPr>
          <w:b w:val="0"/>
          <w:sz w:val="18"/>
          <w:szCs w:val="18"/>
        </w:rPr>
        <w:t xml:space="preserve">BDI: Beck </w:t>
      </w:r>
      <w:proofErr w:type="spellStart"/>
      <w:r w:rsidRPr="0024264D">
        <w:rPr>
          <w:b w:val="0"/>
          <w:sz w:val="18"/>
          <w:szCs w:val="18"/>
        </w:rPr>
        <w:t>Depression</w:t>
      </w:r>
      <w:proofErr w:type="spellEnd"/>
      <w:r w:rsidRPr="0024264D">
        <w:rPr>
          <w:b w:val="0"/>
          <w:sz w:val="18"/>
          <w:szCs w:val="18"/>
        </w:rPr>
        <w:t xml:space="preserve"> </w:t>
      </w:r>
      <w:proofErr w:type="spellStart"/>
      <w:r w:rsidRPr="0024264D">
        <w:rPr>
          <w:b w:val="0"/>
          <w:sz w:val="18"/>
          <w:szCs w:val="18"/>
        </w:rPr>
        <w:t>Inventary</w:t>
      </w:r>
      <w:proofErr w:type="spellEnd"/>
      <w:r w:rsidRPr="0024264D">
        <w:rPr>
          <w:b w:val="0"/>
          <w:sz w:val="18"/>
          <w:szCs w:val="18"/>
        </w:rPr>
        <w:t xml:space="preserve">; </w:t>
      </w:r>
      <w:r w:rsidR="00FA3C8A" w:rsidRPr="0024264D">
        <w:rPr>
          <w:b w:val="0"/>
          <w:sz w:val="18"/>
          <w:szCs w:val="18"/>
        </w:rPr>
        <w:t xml:space="preserve">CGI: </w:t>
      </w:r>
      <w:proofErr w:type="spellStart"/>
      <w:r w:rsidR="00FA3C8A" w:rsidRPr="0024264D">
        <w:rPr>
          <w:b w:val="0"/>
          <w:sz w:val="18"/>
          <w:szCs w:val="18"/>
        </w:rPr>
        <w:t>Clinical</w:t>
      </w:r>
      <w:proofErr w:type="spellEnd"/>
      <w:r w:rsidR="00FA3C8A" w:rsidRPr="0024264D">
        <w:rPr>
          <w:b w:val="0"/>
          <w:sz w:val="18"/>
          <w:szCs w:val="18"/>
        </w:rPr>
        <w:t xml:space="preserve"> Global </w:t>
      </w:r>
      <w:proofErr w:type="spellStart"/>
      <w:r w:rsidR="00FA3C8A" w:rsidRPr="0024264D">
        <w:rPr>
          <w:b w:val="0"/>
          <w:sz w:val="18"/>
          <w:szCs w:val="18"/>
        </w:rPr>
        <w:t>Impression</w:t>
      </w:r>
      <w:proofErr w:type="spellEnd"/>
      <w:r w:rsidR="00FA3C8A" w:rsidRPr="0024264D">
        <w:rPr>
          <w:b w:val="0"/>
          <w:sz w:val="18"/>
          <w:szCs w:val="18"/>
        </w:rPr>
        <w:t xml:space="preserve"> </w:t>
      </w:r>
      <w:proofErr w:type="spellStart"/>
      <w:r w:rsidR="00FA3C8A" w:rsidRPr="0024264D">
        <w:rPr>
          <w:b w:val="0"/>
          <w:sz w:val="18"/>
          <w:szCs w:val="18"/>
        </w:rPr>
        <w:t>Scale</w:t>
      </w:r>
      <w:proofErr w:type="spellEnd"/>
      <w:r w:rsidR="00FA3C8A" w:rsidRPr="0024264D">
        <w:rPr>
          <w:b w:val="0"/>
          <w:sz w:val="18"/>
          <w:szCs w:val="18"/>
        </w:rPr>
        <w:t xml:space="preserve">; </w:t>
      </w:r>
      <w:r w:rsidR="00D41544" w:rsidRPr="0024264D">
        <w:rPr>
          <w:rFonts w:cs="Times"/>
          <w:b w:val="0"/>
          <w:sz w:val="18"/>
          <w:szCs w:val="18"/>
          <w:lang w:val="es-ES"/>
        </w:rPr>
        <w:t xml:space="preserve">CO: control de orina; </w:t>
      </w:r>
      <w:r w:rsidR="003847BF" w:rsidRPr="0024264D">
        <w:rPr>
          <w:rFonts w:cs="Times"/>
          <w:b w:val="0"/>
          <w:sz w:val="18"/>
          <w:szCs w:val="18"/>
        </w:rPr>
        <w:t xml:space="preserve">DSM-IV: Manual diagnóstico y estadístico de los trastornos mentales; </w:t>
      </w:r>
      <w:r w:rsidRPr="0024264D">
        <w:rPr>
          <w:b w:val="0"/>
          <w:sz w:val="18"/>
          <w:szCs w:val="18"/>
        </w:rPr>
        <w:t>ECA: Ensayo clínico aleatorizado</w:t>
      </w:r>
      <w:r w:rsidRPr="0024264D">
        <w:rPr>
          <w:rFonts w:cs="AdvP7B6C"/>
          <w:b w:val="0"/>
          <w:sz w:val="18"/>
          <w:szCs w:val="18"/>
        </w:rPr>
        <w:t xml:space="preserve">; </w:t>
      </w:r>
      <w:r w:rsidR="00FA3C8A" w:rsidRPr="0024264D">
        <w:rPr>
          <w:rFonts w:cs="Times"/>
          <w:b w:val="0"/>
          <w:sz w:val="18"/>
          <w:szCs w:val="18"/>
          <w:lang w:val="es-ES"/>
        </w:rPr>
        <w:t xml:space="preserve">HAMD: Hamilton </w:t>
      </w:r>
      <w:proofErr w:type="spellStart"/>
      <w:r w:rsidR="00FA3C8A" w:rsidRPr="0024264D">
        <w:rPr>
          <w:rFonts w:cs="Times"/>
          <w:b w:val="0"/>
          <w:sz w:val="18"/>
          <w:szCs w:val="18"/>
          <w:lang w:val="es-ES"/>
        </w:rPr>
        <w:t>depression</w:t>
      </w:r>
      <w:proofErr w:type="spellEnd"/>
      <w:r w:rsidR="00FA3C8A" w:rsidRPr="0024264D">
        <w:rPr>
          <w:rFonts w:cs="Times"/>
          <w:b w:val="0"/>
          <w:sz w:val="18"/>
          <w:szCs w:val="18"/>
          <w:lang w:val="es-ES"/>
        </w:rPr>
        <w:t xml:space="preserve"> rating </w:t>
      </w:r>
      <w:proofErr w:type="spellStart"/>
      <w:r w:rsidR="00FA3C8A" w:rsidRPr="0024264D">
        <w:rPr>
          <w:rFonts w:cs="Times"/>
          <w:b w:val="0"/>
          <w:sz w:val="18"/>
          <w:szCs w:val="18"/>
          <w:lang w:val="es-ES"/>
        </w:rPr>
        <w:t>scale</w:t>
      </w:r>
      <w:proofErr w:type="spellEnd"/>
      <w:r w:rsidR="00FA3C8A" w:rsidRPr="0024264D">
        <w:rPr>
          <w:rFonts w:cs="Times"/>
          <w:b w:val="0"/>
          <w:sz w:val="18"/>
          <w:szCs w:val="18"/>
          <w:lang w:val="es-ES"/>
        </w:rPr>
        <w:t xml:space="preserve">; </w:t>
      </w:r>
      <w:r w:rsidRPr="0024264D">
        <w:rPr>
          <w:rFonts w:cs="Times"/>
          <w:b w:val="0"/>
          <w:sz w:val="18"/>
          <w:szCs w:val="18"/>
        </w:rPr>
        <w:t xml:space="preserve">MC: Manejo de contingencias; </w:t>
      </w:r>
      <w:r w:rsidR="00692F69" w:rsidRPr="0024264D">
        <w:rPr>
          <w:rFonts w:cs="Times"/>
          <w:b w:val="0"/>
          <w:sz w:val="18"/>
          <w:szCs w:val="18"/>
          <w:lang w:val="es-ES"/>
        </w:rPr>
        <w:t>PMM</w:t>
      </w:r>
      <w:r w:rsidR="00692F69" w:rsidRPr="0024264D">
        <w:rPr>
          <w:rFonts w:cs="Times"/>
          <w:b w:val="0"/>
          <w:sz w:val="18"/>
          <w:szCs w:val="18"/>
          <w:lang w:val="es-ES"/>
        </w:rPr>
        <w:t xml:space="preserve">: Programa de mantenimiento con metadona; </w:t>
      </w:r>
      <w:r w:rsidR="003847BF" w:rsidRPr="0024264D">
        <w:rPr>
          <w:rFonts w:cs="Times"/>
          <w:b w:val="0"/>
          <w:sz w:val="18"/>
          <w:szCs w:val="18"/>
          <w:lang w:val="es-ES"/>
        </w:rPr>
        <w:t xml:space="preserve">SCID: </w:t>
      </w:r>
      <w:proofErr w:type="spellStart"/>
      <w:r w:rsidR="003847BF" w:rsidRPr="0024264D">
        <w:rPr>
          <w:rFonts w:cs="Times"/>
          <w:b w:val="0"/>
          <w:sz w:val="18"/>
          <w:szCs w:val="18"/>
          <w:lang w:val="es-ES"/>
        </w:rPr>
        <w:t>Structured</w:t>
      </w:r>
      <w:proofErr w:type="spellEnd"/>
      <w:r w:rsidR="003847BF" w:rsidRPr="0024264D">
        <w:rPr>
          <w:rFonts w:cs="Times"/>
          <w:b w:val="0"/>
          <w:sz w:val="18"/>
          <w:szCs w:val="18"/>
          <w:lang w:val="es-ES"/>
        </w:rPr>
        <w:t xml:space="preserve"> </w:t>
      </w:r>
      <w:proofErr w:type="spellStart"/>
      <w:r w:rsidR="003847BF" w:rsidRPr="0024264D">
        <w:rPr>
          <w:rFonts w:cs="Times"/>
          <w:b w:val="0"/>
          <w:sz w:val="18"/>
          <w:szCs w:val="18"/>
          <w:lang w:val="es-ES"/>
        </w:rPr>
        <w:t>Clinical</w:t>
      </w:r>
      <w:proofErr w:type="spellEnd"/>
      <w:r w:rsidR="003847BF" w:rsidRPr="0024264D">
        <w:rPr>
          <w:rFonts w:cs="Times"/>
          <w:b w:val="0"/>
          <w:sz w:val="18"/>
          <w:szCs w:val="18"/>
          <w:lang w:val="es-ES"/>
        </w:rPr>
        <w:t xml:space="preserve"> Interview </w:t>
      </w:r>
      <w:proofErr w:type="spellStart"/>
      <w:r w:rsidR="003847BF" w:rsidRPr="0024264D">
        <w:rPr>
          <w:rFonts w:cs="Times"/>
          <w:b w:val="0"/>
          <w:sz w:val="18"/>
          <w:szCs w:val="18"/>
          <w:lang w:val="es-ES"/>
        </w:rPr>
        <w:t>for</w:t>
      </w:r>
      <w:proofErr w:type="spellEnd"/>
      <w:r w:rsidR="003847BF" w:rsidRPr="0024264D">
        <w:rPr>
          <w:rFonts w:cs="Times"/>
          <w:b w:val="0"/>
          <w:sz w:val="18"/>
          <w:szCs w:val="18"/>
          <w:lang w:val="es-ES"/>
        </w:rPr>
        <w:t xml:space="preserve"> DSM </w:t>
      </w:r>
      <w:proofErr w:type="spellStart"/>
      <w:r w:rsidR="003847BF" w:rsidRPr="0024264D">
        <w:rPr>
          <w:rFonts w:cs="Times"/>
          <w:b w:val="0"/>
          <w:sz w:val="18"/>
          <w:szCs w:val="18"/>
          <w:lang w:val="es-ES"/>
        </w:rPr>
        <w:t>Disorders</w:t>
      </w:r>
      <w:proofErr w:type="spellEnd"/>
      <w:r w:rsidR="003847BF" w:rsidRPr="0024264D">
        <w:rPr>
          <w:rFonts w:cs="Times"/>
          <w:b w:val="0"/>
          <w:sz w:val="18"/>
          <w:szCs w:val="18"/>
          <w:lang w:val="es-ES"/>
        </w:rPr>
        <w:t xml:space="preserve">; TCC: Terapia Cognitivo Conductual;. </w:t>
      </w:r>
      <w:r w:rsidR="003847BF" w:rsidRPr="0024264D">
        <w:rPr>
          <w:rFonts w:cs="Times"/>
          <w:b w:val="0"/>
          <w:sz w:val="18"/>
          <w:szCs w:val="18"/>
          <w:lang w:val="en-US"/>
        </w:rPr>
        <w:t xml:space="preserve">TLFB: time-line follow-back </w:t>
      </w:r>
    </w:p>
    <w:p w14:paraId="481A565A" w14:textId="77777777" w:rsidR="007113C8" w:rsidRPr="00F16CBF" w:rsidRDefault="007113C8">
      <w:pPr>
        <w:rPr>
          <w:lang w:val="en-US"/>
        </w:rPr>
      </w:pPr>
    </w:p>
    <w:sectPr w:rsidR="007113C8" w:rsidRPr="00F16CBF" w:rsidSect="003847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 Light">
    <w:charset w:val="00"/>
    <w:family w:val="auto"/>
    <w:pitch w:val="variable"/>
    <w:sig w:usb0="8000006F" w:usb1="08000048" w:usb2="14600000" w:usb3="00000000" w:csb0="00000111" w:csb1="00000000"/>
  </w:font>
  <w:font w:name="AdvP7B6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F7"/>
    <w:rsid w:val="0024264D"/>
    <w:rsid w:val="003847BF"/>
    <w:rsid w:val="00563CD9"/>
    <w:rsid w:val="00692F69"/>
    <w:rsid w:val="007113C8"/>
    <w:rsid w:val="007C34BB"/>
    <w:rsid w:val="00A01BF7"/>
    <w:rsid w:val="00D41544"/>
    <w:rsid w:val="00F16CBF"/>
    <w:rsid w:val="00FA26C9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55CB"/>
  <w15:chartTrackingRefBased/>
  <w15:docId w15:val="{D15E909B-FCCA-4ABD-935E-AAE71DD5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BF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47B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7</cp:revision>
  <dcterms:created xsi:type="dcterms:W3CDTF">2020-04-14T14:10:00Z</dcterms:created>
  <dcterms:modified xsi:type="dcterms:W3CDTF">2020-04-20T10:05:00Z</dcterms:modified>
</cp:coreProperties>
</file>