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94946" w14:textId="77777777" w:rsidR="001B744E" w:rsidRDefault="001B744E" w:rsidP="00EE174C">
      <w:pPr>
        <w:rPr>
          <w:rFonts w:cs="Segoe UI"/>
          <w:sz w:val="18"/>
          <w:szCs w:val="18"/>
        </w:rPr>
      </w:pPr>
    </w:p>
    <w:p w14:paraId="1BB94947" w14:textId="77777777" w:rsidR="00283E54" w:rsidRPr="00D711E3" w:rsidRDefault="00ED498E" w:rsidP="0032521D">
      <w:pPr>
        <w:ind w:left="-567"/>
        <w:rPr>
          <w:sz w:val="18"/>
          <w:szCs w:val="18"/>
        </w:rPr>
      </w:pPr>
      <w:r>
        <w:rPr>
          <w:sz w:val="18"/>
          <w:szCs w:val="18"/>
        </w:rPr>
        <w:t xml:space="preserve">Tabla 1. </w:t>
      </w:r>
      <w:r w:rsidR="00283E54" w:rsidRPr="00D711E3">
        <w:rPr>
          <w:sz w:val="18"/>
          <w:szCs w:val="18"/>
        </w:rPr>
        <w:t>Depresión y trastorno por uso de alcohol</w:t>
      </w:r>
    </w:p>
    <w:p w14:paraId="1BB94948" w14:textId="77777777" w:rsidR="00283E54" w:rsidRPr="00D711E3" w:rsidRDefault="00283E54" w:rsidP="00283E54">
      <w:pPr>
        <w:rPr>
          <w:rFonts w:cs="Segoe UI"/>
          <w:b w:val="0"/>
          <w:sz w:val="18"/>
          <w:szCs w:val="18"/>
        </w:rPr>
      </w:pPr>
    </w:p>
    <w:tbl>
      <w:tblPr>
        <w:tblStyle w:val="Tablaconcuadrcula1"/>
        <w:tblpPr w:leftFromText="180" w:rightFromText="180" w:vertAnchor="text" w:tblpX="-578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1246"/>
        <w:gridCol w:w="1682"/>
        <w:gridCol w:w="1687"/>
        <w:gridCol w:w="974"/>
        <w:gridCol w:w="1428"/>
        <w:gridCol w:w="968"/>
        <w:gridCol w:w="1468"/>
        <w:gridCol w:w="6135"/>
      </w:tblGrid>
      <w:tr w:rsidR="00283E54" w:rsidRPr="00D711E3" w14:paraId="1BB94952" w14:textId="77777777" w:rsidTr="0068368B">
        <w:trPr>
          <w:trHeight w:val="558"/>
          <w:tblHeader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49" w14:textId="77777777" w:rsidR="00283E54" w:rsidRPr="0068368B" w:rsidRDefault="001B744E" w:rsidP="0032521D">
            <w:pPr>
              <w:jc w:val="center"/>
              <w:rPr>
                <w:sz w:val="18"/>
                <w:szCs w:val="18"/>
              </w:rPr>
            </w:pPr>
            <w:r w:rsidRPr="0068368B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AUTORES</w:t>
            </w: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4A" w14:textId="77777777" w:rsidR="00283E54" w:rsidRPr="00D711E3" w:rsidRDefault="001B744E" w:rsidP="0032521D">
            <w:pPr>
              <w:jc w:val="center"/>
              <w:textAlignment w:val="baseline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FÁRMACO UTILIZADO</w:t>
            </w:r>
          </w:p>
          <w:p w14:paraId="1BB9494B" w14:textId="77777777" w:rsidR="00283E54" w:rsidRPr="00D711E3" w:rsidRDefault="001B744E" w:rsidP="0032521D">
            <w:pPr>
              <w:jc w:val="center"/>
              <w:textAlignment w:val="baseline"/>
              <w:rPr>
                <w:rFonts w:eastAsia="Times New Roman" w:cs="Arial"/>
                <w:b w:val="0"/>
                <w:sz w:val="18"/>
                <w:szCs w:val="18"/>
                <w:lang w:eastAsia="es-ES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MG/DIA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750C4CB6" w14:textId="77777777" w:rsidR="00DA0EF7" w:rsidRDefault="00DA0EF7" w:rsidP="0032521D">
            <w:pPr>
              <w:jc w:val="center"/>
              <w:rPr>
                <w:rFonts w:eastAsia="MS PGothic" w:cs="Arial"/>
                <w:kern w:val="24"/>
                <w:sz w:val="18"/>
                <w:szCs w:val="18"/>
                <w:lang w:eastAsia="es-ES"/>
              </w:rPr>
            </w:pPr>
            <w:r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DIAGNOSTICO</w:t>
            </w:r>
            <w:r w:rsidR="001B744E"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/</w:t>
            </w:r>
          </w:p>
          <w:p w14:paraId="1BB9494C" w14:textId="30818D09" w:rsidR="00283E54" w:rsidRPr="00D711E3" w:rsidRDefault="001B744E" w:rsidP="0032521D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INSTRUMENTO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4D" w14:textId="77777777" w:rsidR="00283E54" w:rsidRPr="00D711E3" w:rsidRDefault="001B744E" w:rsidP="0032521D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CASO/ CONTROL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4E" w14:textId="245A883D" w:rsidR="00283E54" w:rsidRPr="00D711E3" w:rsidRDefault="001B744E" w:rsidP="0032521D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CONSUMO AL INICIO DEL EC</w:t>
            </w:r>
            <w:r w:rsidR="0068369C">
              <w:rPr>
                <w:sz w:val="18"/>
                <w:szCs w:val="18"/>
              </w:rPr>
              <w:t>A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4F" w14:textId="77777777" w:rsidR="00283E54" w:rsidRPr="00D711E3" w:rsidRDefault="001B744E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SEMANAS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9CC2E5" w:themeFill="accent1" w:themeFillTint="99"/>
          </w:tcPr>
          <w:p w14:paraId="1BB94950" w14:textId="77777777" w:rsidR="00283E54" w:rsidRPr="00D711E3" w:rsidRDefault="001B744E" w:rsidP="0032521D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sz w:val="18"/>
                <w:szCs w:val="18"/>
              </w:rPr>
              <w:t>TERAPIA CONCOMITANTE</w:t>
            </w:r>
          </w:p>
        </w:tc>
        <w:tc>
          <w:tcPr>
            <w:tcW w:w="6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1BB94951" w14:textId="77777777" w:rsidR="00283E54" w:rsidRPr="00D711E3" w:rsidRDefault="001B744E" w:rsidP="0032521D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rFonts w:eastAsia="MS PGothic" w:cs="Arial"/>
                <w:kern w:val="24"/>
                <w:sz w:val="18"/>
                <w:szCs w:val="18"/>
                <w:lang w:eastAsia="es-ES"/>
              </w:rPr>
              <w:t>VARIABLE DE RESULTADO</w:t>
            </w:r>
          </w:p>
        </w:tc>
      </w:tr>
      <w:tr w:rsidR="00283E54" w:rsidRPr="00D711E3" w14:paraId="1BB9495D" w14:textId="77777777" w:rsidTr="0068368B">
        <w:tc>
          <w:tcPr>
            <w:tcW w:w="1246" w:type="dxa"/>
            <w:tcBorders>
              <w:top w:val="single" w:sz="4" w:space="0" w:color="auto"/>
            </w:tcBorders>
          </w:tcPr>
          <w:p w14:paraId="1BB94953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68368B">
              <w:rPr>
                <w:b w:val="0"/>
                <w:sz w:val="18"/>
                <w:szCs w:val="18"/>
              </w:rPr>
              <w:t>Altamura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1990</w:t>
            </w:r>
          </w:p>
          <w:p w14:paraId="1BB94954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</w:tcBorders>
          </w:tcPr>
          <w:p w14:paraId="5DE917A6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proofErr w:type="spellStart"/>
            <w:r w:rsidRPr="00D711E3">
              <w:rPr>
                <w:b w:val="0"/>
                <w:sz w:val="18"/>
                <w:szCs w:val="18"/>
              </w:rPr>
              <w:t>Viloxazina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(400)</w:t>
            </w:r>
          </w:p>
          <w:p w14:paraId="1BB94955" w14:textId="6D0ECEFD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1BB94956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DSM-III-R/NA (distimia ≥ 18 en HRSD)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1BB94957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14/13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14:paraId="1BB94958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7 días de abstinencia </w:t>
            </w: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1BB94959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14:paraId="1BB9495A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4 semanas de ingreso seguidas de tratamiento ambulatorio</w:t>
            </w:r>
          </w:p>
        </w:tc>
        <w:tc>
          <w:tcPr>
            <w:tcW w:w="6135" w:type="dxa"/>
            <w:tcBorders>
              <w:top w:val="single" w:sz="4" w:space="0" w:color="auto"/>
            </w:tcBorders>
          </w:tcPr>
          <w:p w14:paraId="1BB9495B" w14:textId="76956B22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Ambos grupos mejoran el consumo de alcohol sin diferencias significativas. </w:t>
            </w:r>
          </w:p>
          <w:p w14:paraId="1BB9495C" w14:textId="2629C4B1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H</w:t>
            </w:r>
            <w:r w:rsidR="00D26651">
              <w:rPr>
                <w:b w:val="0"/>
                <w:sz w:val="18"/>
                <w:szCs w:val="18"/>
              </w:rPr>
              <w:t>AMD</w:t>
            </w:r>
            <w:r w:rsidRPr="00D711E3">
              <w:rPr>
                <w:b w:val="0"/>
                <w:sz w:val="18"/>
                <w:szCs w:val="18"/>
              </w:rPr>
              <w:t xml:space="preserve">: Mejoría significativa en el grupo </w:t>
            </w:r>
            <w:proofErr w:type="spellStart"/>
            <w:r w:rsidRPr="00D711E3">
              <w:rPr>
                <w:b w:val="0"/>
                <w:sz w:val="18"/>
                <w:szCs w:val="18"/>
              </w:rPr>
              <w:t>viloxacina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(5 vs. 21, p &lt; 0.01)</w:t>
            </w:r>
          </w:p>
        </w:tc>
      </w:tr>
      <w:tr w:rsidR="00283E54" w:rsidRPr="00D711E3" w14:paraId="1BB94968" w14:textId="77777777" w:rsidTr="0068368B">
        <w:tc>
          <w:tcPr>
            <w:tcW w:w="1246" w:type="dxa"/>
          </w:tcPr>
          <w:p w14:paraId="1BB9495E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 xml:space="preserve">Mc </w:t>
            </w:r>
            <w:proofErr w:type="spellStart"/>
            <w:r w:rsidRPr="0068368B">
              <w:rPr>
                <w:b w:val="0"/>
                <w:sz w:val="18"/>
                <w:szCs w:val="18"/>
              </w:rPr>
              <w:t>Grath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1996</w:t>
            </w:r>
          </w:p>
          <w:p w14:paraId="1BB9495F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3065538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Imipramina (150–300)</w:t>
            </w:r>
          </w:p>
          <w:p w14:paraId="1BB94960" w14:textId="0D220F49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61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74" w:type="dxa"/>
          </w:tcPr>
          <w:p w14:paraId="1BB94962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27/29</w:t>
            </w:r>
          </w:p>
        </w:tc>
        <w:tc>
          <w:tcPr>
            <w:tcW w:w="1428" w:type="dxa"/>
          </w:tcPr>
          <w:p w14:paraId="1BB94963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68" w:type="dxa"/>
          </w:tcPr>
          <w:p w14:paraId="1BB94964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1BB94965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TCC individual y prevención de recaídas</w:t>
            </w:r>
          </w:p>
        </w:tc>
        <w:tc>
          <w:tcPr>
            <w:tcW w:w="6135" w:type="dxa"/>
          </w:tcPr>
          <w:p w14:paraId="1BB94966" w14:textId="1845EF21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Ningún efecto general en </w:t>
            </w:r>
            <w:r w:rsidR="00D26651">
              <w:rPr>
                <w:b w:val="0"/>
                <w:sz w:val="18"/>
                <w:szCs w:val="18"/>
              </w:rPr>
              <w:t xml:space="preserve">el </w:t>
            </w:r>
            <w:r w:rsidRPr="00D711E3">
              <w:rPr>
                <w:b w:val="0"/>
                <w:sz w:val="18"/>
                <w:szCs w:val="18"/>
              </w:rPr>
              <w:t xml:space="preserve">consumo de alcohol (4 últimas semanas de abstinencia). </w:t>
            </w:r>
            <w:r w:rsidR="00D26651">
              <w:rPr>
                <w:b w:val="0"/>
                <w:sz w:val="18"/>
                <w:szCs w:val="18"/>
              </w:rPr>
              <w:t>En l</w:t>
            </w:r>
            <w:r w:rsidRPr="00D711E3">
              <w:rPr>
                <w:b w:val="0"/>
                <w:sz w:val="18"/>
                <w:szCs w:val="18"/>
              </w:rPr>
              <w:t xml:space="preserve">os pacientes </w:t>
            </w:r>
            <w:r w:rsidR="00D26651">
              <w:rPr>
                <w:b w:val="0"/>
                <w:sz w:val="18"/>
                <w:szCs w:val="18"/>
              </w:rPr>
              <w:t>con mejoría del ánimo</w:t>
            </w:r>
            <w:r w:rsidRPr="00D711E3">
              <w:rPr>
                <w:b w:val="0"/>
                <w:sz w:val="18"/>
                <w:szCs w:val="18"/>
              </w:rPr>
              <w:t xml:space="preserve">, el consumo de alcohol disminuyó más en los tratados con </w:t>
            </w:r>
            <w:proofErr w:type="spellStart"/>
            <w:r w:rsidRPr="00D711E3">
              <w:rPr>
                <w:b w:val="0"/>
                <w:sz w:val="18"/>
                <w:szCs w:val="18"/>
              </w:rPr>
              <w:t>imipramina</w:t>
            </w:r>
            <w:proofErr w:type="spellEnd"/>
          </w:p>
          <w:p w14:paraId="1BB94967" w14:textId="5B4E74B8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HAMD: El g</w:t>
            </w:r>
            <w:r w:rsidR="009440E0">
              <w:rPr>
                <w:b w:val="0"/>
                <w:sz w:val="18"/>
                <w:szCs w:val="18"/>
              </w:rPr>
              <w:t xml:space="preserve">rupo Imipramina mostró valores </w:t>
            </w:r>
            <w:r w:rsidRPr="00D711E3">
              <w:rPr>
                <w:b w:val="0"/>
                <w:sz w:val="18"/>
                <w:szCs w:val="18"/>
              </w:rPr>
              <w:t>significativamente más bajos (9,4 ± 7,7) que el grup</w:t>
            </w:r>
            <w:r w:rsidR="00D26651">
              <w:rPr>
                <w:b w:val="0"/>
                <w:sz w:val="18"/>
                <w:szCs w:val="18"/>
              </w:rPr>
              <w:t>o</w:t>
            </w:r>
            <w:r w:rsidRPr="00D711E3">
              <w:rPr>
                <w:b w:val="0"/>
                <w:sz w:val="18"/>
                <w:szCs w:val="18"/>
              </w:rPr>
              <w:t xml:space="preserve"> 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r w:rsidRPr="00D711E3">
              <w:rPr>
                <w:b w:val="0"/>
                <w:sz w:val="18"/>
                <w:szCs w:val="18"/>
              </w:rPr>
              <w:t xml:space="preserve"> (12,4 ± 9,7) (p &lt;0,03)</w:t>
            </w:r>
          </w:p>
        </w:tc>
      </w:tr>
      <w:tr w:rsidR="00283E54" w:rsidRPr="00D711E3" w14:paraId="1BB94974" w14:textId="77777777" w:rsidTr="0068368B">
        <w:tc>
          <w:tcPr>
            <w:tcW w:w="1246" w:type="dxa"/>
          </w:tcPr>
          <w:p w14:paraId="1BB94969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 xml:space="preserve">Mason </w:t>
            </w:r>
          </w:p>
          <w:p w14:paraId="1BB9496A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1996</w:t>
            </w:r>
          </w:p>
          <w:p w14:paraId="1BB9496B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E6B4FD7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Desipramina (200)</w:t>
            </w:r>
          </w:p>
          <w:p w14:paraId="1BB9496C" w14:textId="27AF17BA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6D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DSM-III-R/NA</w:t>
            </w:r>
          </w:p>
        </w:tc>
        <w:tc>
          <w:tcPr>
            <w:tcW w:w="974" w:type="dxa"/>
          </w:tcPr>
          <w:p w14:paraId="1BB9496E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12/10</w:t>
            </w:r>
          </w:p>
        </w:tc>
        <w:tc>
          <w:tcPr>
            <w:tcW w:w="1428" w:type="dxa"/>
          </w:tcPr>
          <w:p w14:paraId="1BB9496F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≥7 días de abstinencia</w:t>
            </w:r>
          </w:p>
        </w:tc>
        <w:tc>
          <w:tcPr>
            <w:tcW w:w="968" w:type="dxa"/>
          </w:tcPr>
          <w:p w14:paraId="1BB94970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1468" w:type="dxa"/>
          </w:tcPr>
          <w:p w14:paraId="1BB94971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Alcohólicos anónimos</w:t>
            </w:r>
          </w:p>
        </w:tc>
        <w:tc>
          <w:tcPr>
            <w:tcW w:w="6135" w:type="dxa"/>
          </w:tcPr>
          <w:p w14:paraId="1BB94972" w14:textId="10AA0E05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Los pacientes </w:t>
            </w:r>
            <w:r w:rsidR="00675048">
              <w:rPr>
                <w:b w:val="0"/>
                <w:sz w:val="18"/>
                <w:szCs w:val="18"/>
              </w:rPr>
              <w:t xml:space="preserve">con </w:t>
            </w:r>
            <w:r w:rsidRPr="00D711E3">
              <w:rPr>
                <w:b w:val="0"/>
                <w:sz w:val="18"/>
                <w:szCs w:val="18"/>
              </w:rPr>
              <w:t>desipramina mostraron un pe</w:t>
            </w:r>
            <w:r w:rsidR="00781CA2">
              <w:rPr>
                <w:b w:val="0"/>
                <w:sz w:val="18"/>
                <w:szCs w:val="18"/>
              </w:rPr>
              <w:t xml:space="preserve">riodo más largo de abstinencia </w:t>
            </w:r>
            <w:r w:rsidRPr="00D711E3">
              <w:rPr>
                <w:b w:val="0"/>
                <w:sz w:val="18"/>
                <w:szCs w:val="18"/>
              </w:rPr>
              <w:t>que el grupo P (media: 109 frente a 65 días) (p = 0,03)</w:t>
            </w:r>
          </w:p>
          <w:p w14:paraId="1BB94973" w14:textId="2D72AB89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HAMD: El grupo </w:t>
            </w:r>
            <w:r w:rsidR="00D26651">
              <w:rPr>
                <w:b w:val="0"/>
                <w:sz w:val="18"/>
                <w:szCs w:val="18"/>
              </w:rPr>
              <w:t xml:space="preserve">con </w:t>
            </w:r>
            <w:r w:rsidRPr="00D711E3">
              <w:rPr>
                <w:b w:val="0"/>
                <w:sz w:val="18"/>
                <w:szCs w:val="18"/>
              </w:rPr>
              <w:t>desipramina dism</w:t>
            </w:r>
            <w:r w:rsidR="00781CA2">
              <w:rPr>
                <w:b w:val="0"/>
                <w:sz w:val="18"/>
                <w:szCs w:val="18"/>
              </w:rPr>
              <w:t xml:space="preserve">inuyó las puntuaciones </w:t>
            </w:r>
            <w:r w:rsidRPr="00D711E3">
              <w:rPr>
                <w:b w:val="0"/>
                <w:sz w:val="18"/>
                <w:szCs w:val="18"/>
              </w:rPr>
              <w:t xml:space="preserve">significativamente, con respecto al </w:t>
            </w:r>
            <w:proofErr w:type="gramStart"/>
            <w:r w:rsidR="00D26651" w:rsidRPr="00D711E3">
              <w:rPr>
                <w:b w:val="0"/>
                <w:sz w:val="18"/>
                <w:szCs w:val="18"/>
              </w:rPr>
              <w:t>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r w:rsidR="00D26651" w:rsidRPr="00D711E3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 xml:space="preserve"> (</w:t>
            </w:r>
            <w:proofErr w:type="gramEnd"/>
            <w:r w:rsidRPr="00D711E3">
              <w:rPr>
                <w:b w:val="0"/>
                <w:sz w:val="18"/>
                <w:szCs w:val="18"/>
              </w:rPr>
              <w:t>media: 8 vs. 20) (p &lt;0,01)</w:t>
            </w:r>
          </w:p>
        </w:tc>
      </w:tr>
      <w:tr w:rsidR="00283E54" w:rsidRPr="00D711E3" w14:paraId="1BB9497F" w14:textId="77777777" w:rsidTr="0068368B">
        <w:tc>
          <w:tcPr>
            <w:tcW w:w="1246" w:type="dxa"/>
          </w:tcPr>
          <w:p w14:paraId="1BB94975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Cornelius 1997</w:t>
            </w:r>
          </w:p>
          <w:p w14:paraId="1BB94976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4B4D9F5E" w14:textId="1BFA18A0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Fluoxetina </w:t>
            </w:r>
            <w:proofErr w:type="gramStart"/>
            <w:r w:rsidRPr="00D711E3">
              <w:rPr>
                <w:b w:val="0"/>
                <w:sz w:val="18"/>
                <w:szCs w:val="18"/>
              </w:rPr>
              <w:t>(</w:t>
            </w:r>
            <w:r w:rsidR="004B1CFB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>20</w:t>
            </w:r>
            <w:proofErr w:type="gramEnd"/>
            <w:r w:rsidRPr="00D711E3">
              <w:rPr>
                <w:b w:val="0"/>
                <w:sz w:val="18"/>
                <w:szCs w:val="18"/>
              </w:rPr>
              <w:t>)</w:t>
            </w:r>
          </w:p>
          <w:p w14:paraId="1BB94977" w14:textId="1B5EB95E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78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74" w:type="dxa"/>
          </w:tcPr>
          <w:p w14:paraId="1BB94979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25/26</w:t>
            </w:r>
          </w:p>
        </w:tc>
        <w:tc>
          <w:tcPr>
            <w:tcW w:w="1428" w:type="dxa"/>
          </w:tcPr>
          <w:p w14:paraId="1BB9497A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≥9 días de abstinencia</w:t>
            </w:r>
          </w:p>
        </w:tc>
        <w:tc>
          <w:tcPr>
            <w:tcW w:w="968" w:type="dxa"/>
          </w:tcPr>
          <w:p w14:paraId="1BB9497B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1BB9497C" w14:textId="38BBCCC0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Psicoterapia de </w:t>
            </w:r>
            <w:r w:rsidR="0068369C">
              <w:rPr>
                <w:b w:val="0"/>
                <w:sz w:val="18"/>
                <w:szCs w:val="18"/>
              </w:rPr>
              <w:t>apoyo</w:t>
            </w:r>
          </w:p>
        </w:tc>
        <w:tc>
          <w:tcPr>
            <w:tcW w:w="6135" w:type="dxa"/>
          </w:tcPr>
          <w:p w14:paraId="1BB9497D" w14:textId="0501B79B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TLFBI: El consumo de alcohol total fue significativamente menor en el grupo fluoxetina que en </w:t>
            </w:r>
            <w:r w:rsidR="00D26651">
              <w:rPr>
                <w:b w:val="0"/>
                <w:sz w:val="18"/>
                <w:szCs w:val="18"/>
              </w:rPr>
              <w:t>el</w:t>
            </w:r>
            <w:r w:rsidRPr="00D711E3">
              <w:rPr>
                <w:b w:val="0"/>
                <w:sz w:val="18"/>
                <w:szCs w:val="18"/>
              </w:rPr>
              <w:t xml:space="preserve"> grupo placebo. </w:t>
            </w:r>
          </w:p>
          <w:p w14:paraId="1BB9497E" w14:textId="161240F6" w:rsidR="00283E54" w:rsidRPr="00D711E3" w:rsidRDefault="00283E54" w:rsidP="0032521D">
            <w:pPr>
              <w:rPr>
                <w:b w:val="0"/>
                <w:color w:val="ED7D31" w:themeColor="accent2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HAMD: Mejoría significativa en los síntomas depresivos en el grupo fluoxetina en comparación al grupo placebo</w:t>
            </w:r>
          </w:p>
        </w:tc>
      </w:tr>
      <w:tr w:rsidR="00283E54" w:rsidRPr="00D711E3" w14:paraId="1BB9498C" w14:textId="77777777" w:rsidTr="0068368B">
        <w:tc>
          <w:tcPr>
            <w:tcW w:w="1246" w:type="dxa"/>
          </w:tcPr>
          <w:p w14:paraId="1BB94980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 xml:space="preserve">Roy        </w:t>
            </w:r>
          </w:p>
          <w:p w14:paraId="1BB94981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1998</w:t>
            </w:r>
          </w:p>
          <w:p w14:paraId="1BB94982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70EB208E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Sertralina (100)</w:t>
            </w:r>
          </w:p>
          <w:p w14:paraId="1BB94983" w14:textId="2E29BF89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84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</w:t>
            </w:r>
            <w:r w:rsidRPr="00D711E3">
              <w:rPr>
                <w:b w:val="0"/>
                <w:color w:val="auto"/>
                <w:sz w:val="18"/>
                <w:szCs w:val="18"/>
              </w:rPr>
              <w:t>-R/NA</w:t>
            </w:r>
          </w:p>
        </w:tc>
        <w:tc>
          <w:tcPr>
            <w:tcW w:w="974" w:type="dxa"/>
          </w:tcPr>
          <w:p w14:paraId="1BB94985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10/5</w:t>
            </w:r>
          </w:p>
        </w:tc>
        <w:tc>
          <w:tcPr>
            <w:tcW w:w="1428" w:type="dxa"/>
          </w:tcPr>
          <w:p w14:paraId="1BB94986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≥14 días de abstinencia</w:t>
            </w:r>
          </w:p>
        </w:tc>
        <w:tc>
          <w:tcPr>
            <w:tcW w:w="968" w:type="dxa"/>
          </w:tcPr>
          <w:p w14:paraId="1BB94987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6</w:t>
            </w:r>
          </w:p>
        </w:tc>
        <w:tc>
          <w:tcPr>
            <w:tcW w:w="1468" w:type="dxa"/>
          </w:tcPr>
          <w:p w14:paraId="1BB94988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Ingreso seguido de hospital de día intensivo </w:t>
            </w:r>
          </w:p>
          <w:p w14:paraId="1BB94989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6135" w:type="dxa"/>
          </w:tcPr>
          <w:p w14:paraId="1BB9498A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Consumo: No evaluado </w:t>
            </w:r>
          </w:p>
          <w:p w14:paraId="1BB9498B" w14:textId="76B2456F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BDI, HAMD: el grupo sertralina mostró </w:t>
            </w:r>
            <w:r w:rsidR="00781CA2">
              <w:rPr>
                <w:b w:val="0"/>
                <w:sz w:val="18"/>
                <w:szCs w:val="18"/>
              </w:rPr>
              <w:t xml:space="preserve">puntuaciones </w:t>
            </w:r>
            <w:r w:rsidR="00D26651" w:rsidRPr="00D711E3">
              <w:rPr>
                <w:b w:val="0"/>
                <w:sz w:val="18"/>
                <w:szCs w:val="18"/>
              </w:rPr>
              <w:t>significa</w:t>
            </w:r>
            <w:r w:rsidR="00D26651">
              <w:rPr>
                <w:b w:val="0"/>
                <w:sz w:val="18"/>
                <w:szCs w:val="18"/>
              </w:rPr>
              <w:t xml:space="preserve">tivamente </w:t>
            </w:r>
            <w:r w:rsidR="00781CA2">
              <w:rPr>
                <w:b w:val="0"/>
                <w:sz w:val="18"/>
                <w:szCs w:val="18"/>
              </w:rPr>
              <w:t>má</w:t>
            </w:r>
            <w:r w:rsidRPr="00D711E3">
              <w:rPr>
                <w:b w:val="0"/>
                <w:sz w:val="18"/>
                <w:szCs w:val="18"/>
              </w:rPr>
              <w:t xml:space="preserve">s bajas en HAMD (12.7 ± 9.1) y en BDI (18.5 ± 12.5) en comparación a placebo (16.3 ± 7.5 </w:t>
            </w:r>
            <w:proofErr w:type="gramStart"/>
            <w:r w:rsidRPr="00D711E3">
              <w:rPr>
                <w:b w:val="0"/>
                <w:sz w:val="18"/>
                <w:szCs w:val="18"/>
              </w:rPr>
              <w:t>y  23.1</w:t>
            </w:r>
            <w:proofErr w:type="gramEnd"/>
            <w:r w:rsidRPr="00D711E3">
              <w:rPr>
                <w:b w:val="0"/>
                <w:sz w:val="18"/>
                <w:szCs w:val="18"/>
              </w:rPr>
              <w:t xml:space="preserve"> ± 10.2) (p &lt; 0.003 y p &lt; 0.03)</w:t>
            </w:r>
          </w:p>
        </w:tc>
      </w:tr>
      <w:tr w:rsidR="00283E54" w:rsidRPr="00D711E3" w14:paraId="1BB94997" w14:textId="77777777" w:rsidTr="0068368B">
        <w:tc>
          <w:tcPr>
            <w:tcW w:w="1246" w:type="dxa"/>
          </w:tcPr>
          <w:p w14:paraId="1BB9498D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 xml:space="preserve">Roy-Byrne 2000 </w:t>
            </w:r>
          </w:p>
          <w:p w14:paraId="1BB9498E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207333B4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proofErr w:type="spellStart"/>
            <w:r w:rsidRPr="00D711E3">
              <w:rPr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(460 ± 75)</w:t>
            </w:r>
          </w:p>
          <w:p w14:paraId="1BB9498F" w14:textId="7E93453F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90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74" w:type="dxa"/>
          </w:tcPr>
          <w:p w14:paraId="1BB94991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20/11</w:t>
            </w:r>
          </w:p>
        </w:tc>
        <w:tc>
          <w:tcPr>
            <w:tcW w:w="1428" w:type="dxa"/>
          </w:tcPr>
          <w:p w14:paraId="1BB94992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Consumo actual</w:t>
            </w:r>
          </w:p>
        </w:tc>
        <w:tc>
          <w:tcPr>
            <w:tcW w:w="968" w:type="dxa"/>
          </w:tcPr>
          <w:p w14:paraId="1BB94993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1BB94994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TCC grupo</w:t>
            </w:r>
          </w:p>
        </w:tc>
        <w:tc>
          <w:tcPr>
            <w:tcW w:w="6135" w:type="dxa"/>
          </w:tcPr>
          <w:p w14:paraId="1BB94995" w14:textId="301E9D93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TLFBI: disminución no significativa en el número medio de bebidas alcohólica</w:t>
            </w:r>
            <w:r w:rsidR="00D26651">
              <w:rPr>
                <w:b w:val="0"/>
                <w:sz w:val="18"/>
                <w:szCs w:val="18"/>
              </w:rPr>
              <w:t>s diarias</w:t>
            </w:r>
            <w:r w:rsidRPr="00D711E3">
              <w:rPr>
                <w:b w:val="0"/>
                <w:sz w:val="18"/>
                <w:szCs w:val="18"/>
              </w:rPr>
              <w:t xml:space="preserve"> en </w:t>
            </w:r>
            <w:proofErr w:type="spellStart"/>
            <w:r w:rsidRPr="00D711E3">
              <w:rPr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(3) vs. grupo P (4)</w:t>
            </w:r>
          </w:p>
          <w:p w14:paraId="1BB94996" w14:textId="26D99652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HAMD: </w:t>
            </w:r>
            <w:proofErr w:type="spellStart"/>
            <w:r w:rsidRPr="00D711E3">
              <w:rPr>
                <w:b w:val="0"/>
                <w:sz w:val="18"/>
                <w:szCs w:val="18"/>
              </w:rPr>
              <w:t>nefazodona</w:t>
            </w:r>
            <w:proofErr w:type="spellEnd"/>
            <w:r w:rsidR="00D26651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>mostró una mejora significativa</w:t>
            </w:r>
            <w:r w:rsidR="00781CA2">
              <w:rPr>
                <w:b w:val="0"/>
                <w:sz w:val="18"/>
                <w:szCs w:val="18"/>
              </w:rPr>
              <w:t xml:space="preserve"> (12) </w:t>
            </w:r>
            <w:r w:rsidRPr="00D711E3">
              <w:rPr>
                <w:b w:val="0"/>
                <w:sz w:val="18"/>
                <w:szCs w:val="18"/>
              </w:rPr>
              <w:t xml:space="preserve">en comparación </w:t>
            </w:r>
            <w:proofErr w:type="gramStart"/>
            <w:r w:rsidRPr="00D711E3">
              <w:rPr>
                <w:b w:val="0"/>
                <w:sz w:val="18"/>
                <w:szCs w:val="18"/>
              </w:rPr>
              <w:t xml:space="preserve">al </w:t>
            </w:r>
            <w:r w:rsidR="00D26651" w:rsidRPr="00D711E3">
              <w:rPr>
                <w:b w:val="0"/>
                <w:sz w:val="18"/>
                <w:szCs w:val="18"/>
              </w:rPr>
              <w:t xml:space="preserve"> 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proofErr w:type="gramEnd"/>
            <w:r w:rsidR="00D26651" w:rsidRPr="00D711E3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 xml:space="preserve"> (16) (p &lt;0,1)</w:t>
            </w:r>
          </w:p>
        </w:tc>
      </w:tr>
      <w:tr w:rsidR="00283E54" w:rsidRPr="00D711E3" w14:paraId="1BB949A2" w14:textId="77777777" w:rsidTr="0068368B">
        <w:trPr>
          <w:trHeight w:val="874"/>
        </w:trPr>
        <w:tc>
          <w:tcPr>
            <w:tcW w:w="1246" w:type="dxa"/>
          </w:tcPr>
          <w:p w14:paraId="1BB94998" w14:textId="2785F928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68368B">
              <w:rPr>
                <w:b w:val="0"/>
                <w:sz w:val="18"/>
                <w:szCs w:val="18"/>
              </w:rPr>
              <w:t>Pettinati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2001</w:t>
            </w:r>
          </w:p>
          <w:p w14:paraId="1BB94999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D2522F6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Sertralina (200)</w:t>
            </w:r>
          </w:p>
          <w:p w14:paraId="1BB9499A" w14:textId="74BB1DCB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9B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DSM-III-R/SCID</w:t>
            </w:r>
          </w:p>
        </w:tc>
        <w:tc>
          <w:tcPr>
            <w:tcW w:w="974" w:type="dxa"/>
          </w:tcPr>
          <w:p w14:paraId="1BB9499C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12/17</w:t>
            </w:r>
          </w:p>
        </w:tc>
        <w:tc>
          <w:tcPr>
            <w:tcW w:w="1428" w:type="dxa"/>
          </w:tcPr>
          <w:p w14:paraId="1BB9499D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≥3 días de abstinencia</w:t>
            </w:r>
          </w:p>
        </w:tc>
        <w:tc>
          <w:tcPr>
            <w:tcW w:w="968" w:type="dxa"/>
          </w:tcPr>
          <w:p w14:paraId="1BB9499E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1468" w:type="dxa"/>
          </w:tcPr>
          <w:p w14:paraId="1BB9499F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Terapia de los 12-pasos</w:t>
            </w:r>
          </w:p>
        </w:tc>
        <w:tc>
          <w:tcPr>
            <w:tcW w:w="6135" w:type="dxa"/>
          </w:tcPr>
          <w:p w14:paraId="1BB949A0" w14:textId="111A05D0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diferencias no significativas en la disminución </w:t>
            </w:r>
            <w:r w:rsidR="00D26651">
              <w:rPr>
                <w:b w:val="0"/>
                <w:sz w:val="18"/>
                <w:szCs w:val="18"/>
              </w:rPr>
              <w:t>d</w:t>
            </w:r>
            <w:r w:rsidRPr="00D711E3">
              <w:rPr>
                <w:b w:val="0"/>
                <w:sz w:val="18"/>
                <w:szCs w:val="18"/>
              </w:rPr>
              <w:t xml:space="preserve">el % de los días bebiendo y semanas hasta la recaída entre la sertralina y el </w:t>
            </w:r>
            <w:proofErr w:type="gramStart"/>
            <w:r w:rsidRPr="00D711E3">
              <w:rPr>
                <w:b w:val="0"/>
                <w:sz w:val="18"/>
                <w:szCs w:val="18"/>
              </w:rPr>
              <w:t xml:space="preserve">grupo </w:t>
            </w:r>
            <w:r w:rsidR="00D26651" w:rsidRPr="00D711E3">
              <w:rPr>
                <w:b w:val="0"/>
                <w:sz w:val="18"/>
                <w:szCs w:val="18"/>
              </w:rPr>
              <w:t xml:space="preserve"> 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proofErr w:type="gramEnd"/>
          </w:p>
          <w:p w14:paraId="1BB949A1" w14:textId="7A91EF02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BDI, HAMD: diferencias no significativas en la disminución en la HAMD y las puntuaciones del BDI entre los grupos sertralina (</w:t>
            </w:r>
            <w:r w:rsidR="00D26651">
              <w:rPr>
                <w:b w:val="0"/>
                <w:sz w:val="18"/>
                <w:szCs w:val="18"/>
              </w:rPr>
              <w:t>6.</w:t>
            </w:r>
            <w:r w:rsidRPr="00D711E3">
              <w:rPr>
                <w:b w:val="0"/>
                <w:sz w:val="18"/>
                <w:szCs w:val="18"/>
              </w:rPr>
              <w:t>8 y 7</w:t>
            </w:r>
            <w:r w:rsidR="00D26651">
              <w:rPr>
                <w:b w:val="0"/>
                <w:sz w:val="18"/>
                <w:szCs w:val="18"/>
              </w:rPr>
              <w:t>.2</w:t>
            </w:r>
            <w:r w:rsidRPr="00D711E3">
              <w:rPr>
                <w:b w:val="0"/>
                <w:sz w:val="18"/>
                <w:szCs w:val="18"/>
              </w:rPr>
              <w:t xml:space="preserve"> respectivamente) </w:t>
            </w:r>
            <w:proofErr w:type="gramStart"/>
            <w:r w:rsidRPr="00D711E3">
              <w:rPr>
                <w:b w:val="0"/>
                <w:sz w:val="18"/>
                <w:szCs w:val="18"/>
              </w:rPr>
              <w:t xml:space="preserve">y </w:t>
            </w:r>
            <w:r w:rsidR="00D26651" w:rsidRPr="00D711E3">
              <w:rPr>
                <w:b w:val="0"/>
                <w:sz w:val="18"/>
                <w:szCs w:val="18"/>
              </w:rPr>
              <w:t xml:space="preserve"> 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proofErr w:type="gramEnd"/>
            <w:r w:rsidR="00D26651" w:rsidRPr="00D711E3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 xml:space="preserve"> (8.8 y 9.1) </w:t>
            </w:r>
            <w:r w:rsidR="00D26651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283E54" w:rsidRPr="00D711E3" w14:paraId="1BB949AE" w14:textId="77777777" w:rsidTr="0068368B">
        <w:tc>
          <w:tcPr>
            <w:tcW w:w="1246" w:type="dxa"/>
          </w:tcPr>
          <w:p w14:paraId="1BB949A3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 xml:space="preserve">Gual      </w:t>
            </w:r>
          </w:p>
          <w:p w14:paraId="1BB949A4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2003</w:t>
            </w:r>
          </w:p>
          <w:p w14:paraId="1BB949A5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5629AE44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Sertralina (50–150)</w:t>
            </w:r>
          </w:p>
          <w:p w14:paraId="1BB949A6" w14:textId="180F5B72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A7" w14:textId="716753C6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DSM-IV/ NA</w:t>
            </w:r>
          </w:p>
        </w:tc>
        <w:tc>
          <w:tcPr>
            <w:tcW w:w="974" w:type="dxa"/>
          </w:tcPr>
          <w:p w14:paraId="1BB949A8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24/22</w:t>
            </w:r>
          </w:p>
        </w:tc>
        <w:tc>
          <w:tcPr>
            <w:tcW w:w="1428" w:type="dxa"/>
          </w:tcPr>
          <w:p w14:paraId="1BB949A9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≥14 días de abstinencia</w:t>
            </w:r>
          </w:p>
        </w:tc>
        <w:tc>
          <w:tcPr>
            <w:tcW w:w="968" w:type="dxa"/>
          </w:tcPr>
          <w:p w14:paraId="1BB949AA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24</w:t>
            </w:r>
          </w:p>
        </w:tc>
        <w:tc>
          <w:tcPr>
            <w:tcW w:w="1468" w:type="dxa"/>
          </w:tcPr>
          <w:p w14:paraId="1BB949AB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2 semanas de abstinencia después de la desintoxicación </w:t>
            </w:r>
          </w:p>
        </w:tc>
        <w:tc>
          <w:tcPr>
            <w:tcW w:w="6135" w:type="dxa"/>
          </w:tcPr>
          <w:p w14:paraId="1BB949AC" w14:textId="019A9AF2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Diferencias no significativas en las tasas de recaída en </w:t>
            </w:r>
            <w:r w:rsidR="00D26651">
              <w:rPr>
                <w:b w:val="0"/>
                <w:sz w:val="18"/>
                <w:szCs w:val="18"/>
              </w:rPr>
              <w:t>grupo</w:t>
            </w:r>
            <w:r w:rsidRPr="00D711E3">
              <w:rPr>
                <w:b w:val="0"/>
                <w:sz w:val="18"/>
                <w:szCs w:val="18"/>
              </w:rPr>
              <w:t xml:space="preserve"> sertralina (31,8%) frente a </w:t>
            </w:r>
            <w:proofErr w:type="gramStart"/>
            <w:r w:rsidRPr="00D711E3">
              <w:rPr>
                <w:b w:val="0"/>
                <w:sz w:val="18"/>
                <w:szCs w:val="18"/>
              </w:rPr>
              <w:t xml:space="preserve">grupo </w:t>
            </w:r>
            <w:r w:rsidR="00D26651">
              <w:rPr>
                <w:b w:val="0"/>
                <w:sz w:val="18"/>
                <w:szCs w:val="18"/>
              </w:rPr>
              <w:t xml:space="preserve"> </w:t>
            </w:r>
            <w:r w:rsidR="00D26651" w:rsidRPr="00D711E3">
              <w:rPr>
                <w:b w:val="0"/>
                <w:sz w:val="18"/>
                <w:szCs w:val="18"/>
              </w:rPr>
              <w:t>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proofErr w:type="gramEnd"/>
            <w:r w:rsidRPr="00D711E3">
              <w:rPr>
                <w:b w:val="0"/>
                <w:sz w:val="18"/>
                <w:szCs w:val="18"/>
              </w:rPr>
              <w:t xml:space="preserve"> (23.1%)</w:t>
            </w:r>
          </w:p>
          <w:p w14:paraId="1BB949AD" w14:textId="18A90CC8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HAMD / MADRS: diferencias no significativas en las tasas de respuesta entre el grupo sertralina (44%) y el grupo </w:t>
            </w:r>
            <w:r w:rsidR="00D26651" w:rsidRPr="00D711E3">
              <w:rPr>
                <w:b w:val="0"/>
                <w:sz w:val="18"/>
                <w:szCs w:val="18"/>
              </w:rPr>
              <w:t>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r w:rsidR="00D26651" w:rsidRPr="00D711E3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>(39%). Cuando los pacientes fueron estratificad</w:t>
            </w:r>
            <w:r w:rsidR="0068369C">
              <w:rPr>
                <w:b w:val="0"/>
                <w:sz w:val="18"/>
                <w:szCs w:val="18"/>
              </w:rPr>
              <w:t>o</w:t>
            </w:r>
            <w:r w:rsidRPr="00D711E3">
              <w:rPr>
                <w:b w:val="0"/>
                <w:sz w:val="18"/>
                <w:szCs w:val="18"/>
              </w:rPr>
              <w:t xml:space="preserve">s en </w:t>
            </w:r>
            <w:r w:rsidR="0068369C">
              <w:rPr>
                <w:b w:val="0"/>
                <w:sz w:val="18"/>
                <w:szCs w:val="18"/>
              </w:rPr>
              <w:t xml:space="preserve">depresión </w:t>
            </w:r>
            <w:r w:rsidRPr="00D711E3">
              <w:rPr>
                <w:b w:val="0"/>
                <w:sz w:val="18"/>
                <w:szCs w:val="18"/>
              </w:rPr>
              <w:t>grave (MADRS ≥ 26) y moderada (MADRS &lt;26), se observó un beneficio significativo del tratamiento con sertralina en el primer grupo.</w:t>
            </w:r>
            <w:r w:rsidR="00D26651">
              <w:rPr>
                <w:b w:val="0"/>
                <w:sz w:val="18"/>
                <w:szCs w:val="18"/>
              </w:rPr>
              <w:t xml:space="preserve">   </w:t>
            </w:r>
          </w:p>
        </w:tc>
      </w:tr>
      <w:tr w:rsidR="00283E54" w:rsidRPr="00D711E3" w14:paraId="1BB949BA" w14:textId="77777777" w:rsidTr="0068368B">
        <w:tc>
          <w:tcPr>
            <w:tcW w:w="1246" w:type="dxa"/>
          </w:tcPr>
          <w:p w14:paraId="1BB949AF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68368B">
              <w:rPr>
                <w:b w:val="0"/>
                <w:sz w:val="18"/>
                <w:szCs w:val="18"/>
              </w:rPr>
              <w:t>Moak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    </w:t>
            </w:r>
          </w:p>
          <w:p w14:paraId="1BB949B0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2003</w:t>
            </w:r>
          </w:p>
          <w:p w14:paraId="1BB949B1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7FE857C1" w14:textId="7777777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Sertralina (186)</w:t>
            </w:r>
          </w:p>
          <w:p w14:paraId="1BB949B2" w14:textId="0F7B8F1D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</w:tc>
        <w:tc>
          <w:tcPr>
            <w:tcW w:w="1687" w:type="dxa"/>
          </w:tcPr>
          <w:p w14:paraId="1BB949B3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DSM-III-R/PRISM</w:t>
            </w:r>
          </w:p>
        </w:tc>
        <w:tc>
          <w:tcPr>
            <w:tcW w:w="974" w:type="dxa"/>
          </w:tcPr>
          <w:p w14:paraId="1BB949B4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38/44</w:t>
            </w:r>
          </w:p>
        </w:tc>
        <w:tc>
          <w:tcPr>
            <w:tcW w:w="1428" w:type="dxa"/>
          </w:tcPr>
          <w:p w14:paraId="1BB949B5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≥3 días de abstinencia</w:t>
            </w:r>
          </w:p>
        </w:tc>
        <w:tc>
          <w:tcPr>
            <w:tcW w:w="968" w:type="dxa"/>
          </w:tcPr>
          <w:p w14:paraId="1BB949B6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1BB949B7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TCC individual para alcohol y la depresión</w:t>
            </w:r>
          </w:p>
        </w:tc>
        <w:tc>
          <w:tcPr>
            <w:tcW w:w="6135" w:type="dxa"/>
          </w:tcPr>
          <w:p w14:paraId="1BB949B8" w14:textId="73E3FB1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TLFB: E</w:t>
            </w:r>
            <w:r w:rsidR="00D26651">
              <w:rPr>
                <w:b w:val="0"/>
                <w:sz w:val="18"/>
                <w:szCs w:val="18"/>
              </w:rPr>
              <w:t>n e</w:t>
            </w:r>
            <w:r w:rsidRPr="00D711E3">
              <w:rPr>
                <w:b w:val="0"/>
                <w:sz w:val="18"/>
                <w:szCs w:val="18"/>
              </w:rPr>
              <w:t>l grupo sertralina</w:t>
            </w:r>
            <w:r w:rsidR="00D26651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 xml:space="preserve">menos bebidas por día de consumo que el </w:t>
            </w:r>
            <w:proofErr w:type="gramStart"/>
            <w:r w:rsidRPr="00D711E3">
              <w:rPr>
                <w:b w:val="0"/>
                <w:sz w:val="18"/>
                <w:szCs w:val="18"/>
              </w:rPr>
              <w:t xml:space="preserve">grupo </w:t>
            </w:r>
            <w:r w:rsidR="00D26651" w:rsidRPr="00D711E3">
              <w:rPr>
                <w:b w:val="0"/>
                <w:sz w:val="18"/>
                <w:szCs w:val="18"/>
              </w:rPr>
              <w:t xml:space="preserve"> P</w:t>
            </w:r>
            <w:r w:rsidR="00D26651">
              <w:rPr>
                <w:b w:val="0"/>
                <w:sz w:val="18"/>
                <w:szCs w:val="18"/>
              </w:rPr>
              <w:t>lacebo</w:t>
            </w:r>
            <w:proofErr w:type="gramEnd"/>
            <w:r w:rsidR="00D26651" w:rsidRPr="00D711E3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 xml:space="preserve"> (2,3 vs 3,5, p = 0,027). No otras diferencias.</w:t>
            </w:r>
          </w:p>
          <w:p w14:paraId="1BB949B9" w14:textId="0C24A888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HAMD, BDI: Menos depresión en las mujeres tratadas con sertralina: HAMD = 6,9 vs 9,3 (p = 0,041) y en BDI = 7,9 vs 10,4 (p = 0,005) que el grupo placebo.</w:t>
            </w:r>
            <w:r w:rsidR="00D26651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283E54" w:rsidRPr="00D711E3" w14:paraId="1BB949C9" w14:textId="77777777" w:rsidTr="0068368B">
        <w:tc>
          <w:tcPr>
            <w:tcW w:w="1246" w:type="dxa"/>
          </w:tcPr>
          <w:p w14:paraId="1BB949BB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lastRenderedPageBreak/>
              <w:t>Hernández-</w:t>
            </w:r>
            <w:proofErr w:type="spellStart"/>
            <w:r w:rsidRPr="0068368B">
              <w:rPr>
                <w:b w:val="0"/>
                <w:sz w:val="18"/>
                <w:szCs w:val="18"/>
              </w:rPr>
              <w:t>Àvila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2004</w:t>
            </w:r>
          </w:p>
          <w:p w14:paraId="1BB949BC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BB949BD" w14:textId="122DF2BA" w:rsidR="00283E54" w:rsidRDefault="00283E54" w:rsidP="0032521D">
            <w:pPr>
              <w:rPr>
                <w:b w:val="0"/>
                <w:sz w:val="18"/>
                <w:szCs w:val="18"/>
              </w:rPr>
            </w:pPr>
            <w:proofErr w:type="spellStart"/>
            <w:r w:rsidRPr="00D711E3">
              <w:rPr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(200-600)</w:t>
            </w:r>
          </w:p>
          <w:p w14:paraId="07C57CFA" w14:textId="3E582729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  <w:p w14:paraId="1BB949BE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BB949BF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DSM-IV / SCID </w:t>
            </w:r>
          </w:p>
          <w:p w14:paraId="1BB949C0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74" w:type="dxa"/>
          </w:tcPr>
          <w:p w14:paraId="1BB949C1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21/20</w:t>
            </w:r>
          </w:p>
          <w:p w14:paraId="1BB949C2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1BB949C3" w14:textId="77777777" w:rsidR="00283E54" w:rsidRPr="00D711E3" w:rsidRDefault="00283E54" w:rsidP="0032521D">
            <w:pPr>
              <w:autoSpaceDE w:val="0"/>
              <w:autoSpaceDN w:val="0"/>
              <w:adjustRightInd w:val="0"/>
              <w:rPr>
                <w:rFonts w:cs="Dutch801BT-Roman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</w:t>
            </w:r>
            <w:r w:rsidRPr="00D711E3">
              <w:rPr>
                <w:rFonts w:cs="Dutch801BT-Roman"/>
                <w:b w:val="0"/>
                <w:sz w:val="18"/>
                <w:szCs w:val="18"/>
              </w:rPr>
              <w:t>18 bebidas/semana en hombres o 14</w:t>
            </w:r>
          </w:p>
          <w:p w14:paraId="1BB949C4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rFonts w:cs="Dutch801BT-Roman"/>
                <w:b w:val="0"/>
                <w:sz w:val="18"/>
                <w:szCs w:val="18"/>
              </w:rPr>
              <w:t xml:space="preserve">bebidas/ semana mujeres </w:t>
            </w:r>
          </w:p>
        </w:tc>
        <w:tc>
          <w:tcPr>
            <w:tcW w:w="968" w:type="dxa"/>
          </w:tcPr>
          <w:p w14:paraId="1BB949C5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468" w:type="dxa"/>
          </w:tcPr>
          <w:p w14:paraId="1BB949C6" w14:textId="1311EED4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rFonts w:cs="Dutch801BT-Roman"/>
                <w:b w:val="0"/>
                <w:sz w:val="18"/>
                <w:szCs w:val="18"/>
              </w:rPr>
              <w:t xml:space="preserve">Psicoterapia de </w:t>
            </w:r>
            <w:r w:rsidR="0068369C">
              <w:rPr>
                <w:rFonts w:cs="Dutch801BT-Roman"/>
                <w:b w:val="0"/>
                <w:sz w:val="18"/>
                <w:szCs w:val="18"/>
              </w:rPr>
              <w:t>apoyo</w:t>
            </w:r>
          </w:p>
        </w:tc>
        <w:tc>
          <w:tcPr>
            <w:tcW w:w="6135" w:type="dxa"/>
          </w:tcPr>
          <w:p w14:paraId="1BB949C7" w14:textId="29C49FB8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Más sujetos tratados con </w:t>
            </w:r>
            <w:proofErr w:type="spellStart"/>
            <w:proofErr w:type="gramStart"/>
            <w:r w:rsidRPr="00D711E3">
              <w:rPr>
                <w:b w:val="0"/>
                <w:sz w:val="18"/>
                <w:szCs w:val="18"/>
              </w:rPr>
              <w:t>nefazodona</w:t>
            </w:r>
            <w:proofErr w:type="spellEnd"/>
            <w:r w:rsidRPr="00D711E3">
              <w:rPr>
                <w:b w:val="0"/>
                <w:sz w:val="18"/>
                <w:szCs w:val="18"/>
              </w:rPr>
              <w:t xml:space="preserve">  (</w:t>
            </w:r>
            <w:proofErr w:type="gramEnd"/>
            <w:r w:rsidRPr="00D711E3">
              <w:rPr>
                <w:b w:val="0"/>
                <w:sz w:val="18"/>
                <w:szCs w:val="18"/>
              </w:rPr>
              <w:t>n</w:t>
            </w:r>
            <w:r w:rsidR="0068369C" w:rsidRPr="00D711E3">
              <w:rPr>
                <w:b w:val="0"/>
                <w:sz w:val="18"/>
                <w:szCs w:val="18"/>
              </w:rPr>
              <w:t>=</w:t>
            </w:r>
            <w:r w:rsidRPr="00D711E3">
              <w:rPr>
                <w:b w:val="0"/>
                <w:sz w:val="18"/>
                <w:szCs w:val="18"/>
              </w:rPr>
              <w:t xml:space="preserve">7; 33,3%) eran abstinentes, en comparación a los sujetos tratados con placebo (n </w:t>
            </w:r>
            <w:r w:rsidR="0068369C" w:rsidRPr="00D711E3">
              <w:rPr>
                <w:b w:val="0"/>
                <w:sz w:val="18"/>
                <w:szCs w:val="18"/>
              </w:rPr>
              <w:t>=</w:t>
            </w:r>
            <w:r w:rsidRPr="00D711E3">
              <w:rPr>
                <w:b w:val="0"/>
                <w:sz w:val="18"/>
                <w:szCs w:val="18"/>
              </w:rPr>
              <w:t>3; 15,0%)</w:t>
            </w:r>
            <w:r w:rsidR="00D26651">
              <w:rPr>
                <w:b w:val="0"/>
                <w:sz w:val="18"/>
                <w:szCs w:val="18"/>
              </w:rPr>
              <w:t>. N</w:t>
            </w:r>
            <w:r w:rsidRPr="00D711E3">
              <w:rPr>
                <w:b w:val="0"/>
                <w:sz w:val="18"/>
                <w:szCs w:val="18"/>
              </w:rPr>
              <w:t xml:space="preserve">o significación estadística (p </w:t>
            </w:r>
            <w:r w:rsidR="0068369C" w:rsidRPr="00D711E3">
              <w:rPr>
                <w:b w:val="0"/>
                <w:sz w:val="18"/>
                <w:szCs w:val="18"/>
              </w:rPr>
              <w:t>=</w:t>
            </w:r>
            <w:r w:rsidRPr="00D711E3">
              <w:rPr>
                <w:b w:val="0"/>
                <w:sz w:val="18"/>
                <w:szCs w:val="18"/>
              </w:rPr>
              <w:t>0.17).</w:t>
            </w:r>
          </w:p>
          <w:p w14:paraId="1BB949C8" w14:textId="6B8E3F4C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HAMD: No hay diferencias entre los grupos (p </w:t>
            </w:r>
            <w:r w:rsidR="0068369C" w:rsidRPr="00D711E3">
              <w:rPr>
                <w:b w:val="0"/>
                <w:sz w:val="18"/>
                <w:szCs w:val="18"/>
              </w:rPr>
              <w:t>=</w:t>
            </w:r>
            <w:r w:rsidRPr="00D711E3">
              <w:rPr>
                <w:b w:val="0"/>
                <w:sz w:val="18"/>
                <w:szCs w:val="18"/>
              </w:rPr>
              <w:t>0.82).</w:t>
            </w:r>
          </w:p>
        </w:tc>
      </w:tr>
      <w:tr w:rsidR="00283E54" w:rsidRPr="00D711E3" w14:paraId="1BB949D8" w14:textId="77777777" w:rsidTr="0068368B">
        <w:tc>
          <w:tcPr>
            <w:tcW w:w="1246" w:type="dxa"/>
          </w:tcPr>
          <w:p w14:paraId="1BB949CA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proofErr w:type="spellStart"/>
            <w:r w:rsidRPr="0068368B">
              <w:rPr>
                <w:b w:val="0"/>
                <w:sz w:val="18"/>
                <w:szCs w:val="18"/>
              </w:rPr>
              <w:t>Kranzler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2006</w:t>
            </w:r>
          </w:p>
          <w:p w14:paraId="1BB949CB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BB949CC" w14:textId="56E32D67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Sertralina (200) </w:t>
            </w:r>
          </w:p>
          <w:p w14:paraId="6451BCA1" w14:textId="2EBE6221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  <w:p w14:paraId="1BB949CD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BB949CE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DSM-IV / PRISM </w:t>
            </w:r>
          </w:p>
          <w:p w14:paraId="1BB949CF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Grupo A*: HDRS≥17</w:t>
            </w:r>
          </w:p>
          <w:p w14:paraId="45CA4BE4" w14:textId="77777777" w:rsidR="0068369C" w:rsidRDefault="0068369C" w:rsidP="0068369C">
            <w:pPr>
              <w:rPr>
                <w:b w:val="0"/>
                <w:sz w:val="18"/>
                <w:szCs w:val="18"/>
              </w:rPr>
            </w:pPr>
          </w:p>
          <w:p w14:paraId="1159F989" w14:textId="77777777" w:rsidR="0068369C" w:rsidRDefault="0068369C" w:rsidP="0068369C">
            <w:pPr>
              <w:rPr>
                <w:b w:val="0"/>
                <w:sz w:val="18"/>
                <w:szCs w:val="18"/>
              </w:rPr>
            </w:pPr>
          </w:p>
          <w:p w14:paraId="1BB949D0" w14:textId="7CCE4C81" w:rsidR="00283E54" w:rsidRPr="00D711E3" w:rsidRDefault="0068369C" w:rsidP="0068369C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Grupo B*: HDRS≤16</w:t>
            </w:r>
          </w:p>
        </w:tc>
        <w:tc>
          <w:tcPr>
            <w:tcW w:w="974" w:type="dxa"/>
          </w:tcPr>
          <w:p w14:paraId="1BB949D1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89/100</w:t>
            </w:r>
          </w:p>
          <w:p w14:paraId="23C44C10" w14:textId="77777777" w:rsidR="0068369C" w:rsidRDefault="0068369C" w:rsidP="00031A07">
            <w:pPr>
              <w:ind w:hanging="83"/>
              <w:rPr>
                <w:b w:val="0"/>
                <w:sz w:val="18"/>
                <w:szCs w:val="18"/>
              </w:rPr>
            </w:pPr>
          </w:p>
          <w:p w14:paraId="62C7C694" w14:textId="77777777" w:rsidR="0068369C" w:rsidRDefault="0068369C" w:rsidP="00031A07">
            <w:pPr>
              <w:ind w:hanging="83"/>
              <w:rPr>
                <w:b w:val="0"/>
                <w:sz w:val="18"/>
                <w:szCs w:val="18"/>
              </w:rPr>
            </w:pPr>
          </w:p>
          <w:p w14:paraId="72E9CAB5" w14:textId="77777777" w:rsidR="0068369C" w:rsidRDefault="0068369C" w:rsidP="00031A07">
            <w:pPr>
              <w:ind w:hanging="83"/>
              <w:rPr>
                <w:b w:val="0"/>
                <w:sz w:val="18"/>
                <w:szCs w:val="18"/>
              </w:rPr>
            </w:pPr>
          </w:p>
          <w:p w14:paraId="438F0D6D" w14:textId="251A0976" w:rsidR="0068369C" w:rsidRPr="00D711E3" w:rsidRDefault="0068369C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70/69</w:t>
            </w:r>
          </w:p>
          <w:p w14:paraId="1BB949D2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1BB949D3" w14:textId="77777777" w:rsidR="00283E54" w:rsidRPr="00D711E3" w:rsidRDefault="00283E54" w:rsidP="0032521D">
            <w:pPr>
              <w:autoSpaceDE w:val="0"/>
              <w:autoSpaceDN w:val="0"/>
              <w:adjustRightInd w:val="0"/>
              <w:rPr>
                <w:rFonts w:cs="Dutch801BT-Roman"/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≥</w:t>
            </w:r>
            <w:r w:rsidRPr="00D711E3">
              <w:rPr>
                <w:rFonts w:cs="Dutch801BT-Roman"/>
                <w:b w:val="0"/>
                <w:sz w:val="18"/>
                <w:szCs w:val="18"/>
              </w:rPr>
              <w:t>18 bebidas/semana en hombres o 14</w:t>
            </w:r>
          </w:p>
          <w:p w14:paraId="1BB949D4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rFonts w:cs="Dutch801BT-Roman"/>
                <w:b w:val="0"/>
                <w:sz w:val="18"/>
                <w:szCs w:val="18"/>
              </w:rPr>
              <w:t>bebidas/ semana mujeres</w:t>
            </w:r>
          </w:p>
        </w:tc>
        <w:tc>
          <w:tcPr>
            <w:tcW w:w="968" w:type="dxa"/>
          </w:tcPr>
          <w:p w14:paraId="1BB949D5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10</w:t>
            </w:r>
          </w:p>
        </w:tc>
        <w:tc>
          <w:tcPr>
            <w:tcW w:w="1468" w:type="dxa"/>
          </w:tcPr>
          <w:p w14:paraId="1BB949D6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No reportado</w:t>
            </w:r>
          </w:p>
        </w:tc>
        <w:tc>
          <w:tcPr>
            <w:tcW w:w="6135" w:type="dxa"/>
          </w:tcPr>
          <w:p w14:paraId="1BB949D7" w14:textId="128B59BC" w:rsidR="00283E54" w:rsidRPr="00D711E3" w:rsidRDefault="00781CA2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TLFB/ HAMD:  Tanto </w:t>
            </w:r>
            <w:r w:rsidR="00283E54" w:rsidRPr="00D711E3">
              <w:rPr>
                <w:b w:val="0"/>
                <w:sz w:val="18"/>
                <w:szCs w:val="18"/>
              </w:rPr>
              <w:t xml:space="preserve">el consumo de alcohol como los síntomas depresivos disminuyeron sustancialmente con el tiempo en ambos grupos. No hubo diferencias entre los grupos. </w:t>
            </w:r>
            <w:r w:rsidR="0068369C">
              <w:rPr>
                <w:b w:val="0"/>
                <w:sz w:val="18"/>
                <w:szCs w:val="18"/>
              </w:rPr>
              <w:t xml:space="preserve">  </w:t>
            </w:r>
          </w:p>
        </w:tc>
      </w:tr>
      <w:tr w:rsidR="00283E54" w:rsidRPr="00D711E3" w14:paraId="1BB949F3" w14:textId="77777777" w:rsidTr="0068368B">
        <w:tc>
          <w:tcPr>
            <w:tcW w:w="1246" w:type="dxa"/>
          </w:tcPr>
          <w:p w14:paraId="1BB949E6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  <w:r w:rsidRPr="0068368B">
              <w:rPr>
                <w:b w:val="0"/>
                <w:sz w:val="18"/>
                <w:szCs w:val="18"/>
              </w:rPr>
              <w:t>Cornelius 2009</w:t>
            </w:r>
          </w:p>
          <w:p w14:paraId="1BB949E7" w14:textId="77777777" w:rsidR="00283E54" w:rsidRPr="0068368B" w:rsidRDefault="00283E54" w:rsidP="0032521D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BB949E8" w14:textId="58C74635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Fluoxetina (20)</w:t>
            </w:r>
          </w:p>
          <w:p w14:paraId="6FDD3E43" w14:textId="15AA7678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  <w:p w14:paraId="1BB949E9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BB949EA" w14:textId="77777777" w:rsidR="00283E54" w:rsidRPr="00D711E3" w:rsidRDefault="00283E54" w:rsidP="0032521D">
            <w:pPr>
              <w:rPr>
                <w:b w:val="0"/>
                <w:sz w:val="18"/>
                <w:szCs w:val="18"/>
                <w:lang w:val="en-US"/>
              </w:rPr>
            </w:pPr>
            <w:r w:rsidRPr="00D711E3">
              <w:rPr>
                <w:b w:val="0"/>
                <w:sz w:val="18"/>
                <w:szCs w:val="18"/>
                <w:lang w:val="en-US"/>
              </w:rPr>
              <w:t>DSM-IV/ K-SADS-PL+ SCID</w:t>
            </w:r>
          </w:p>
          <w:p w14:paraId="1BB949EB" w14:textId="77777777" w:rsidR="00283E54" w:rsidRPr="00D711E3" w:rsidRDefault="00283E54" w:rsidP="0032521D">
            <w:pPr>
              <w:rPr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74" w:type="dxa"/>
          </w:tcPr>
          <w:p w14:paraId="1BB949EC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24/26</w:t>
            </w:r>
          </w:p>
          <w:p w14:paraId="1BB949ED" w14:textId="77777777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</w:p>
        </w:tc>
        <w:tc>
          <w:tcPr>
            <w:tcW w:w="1428" w:type="dxa"/>
          </w:tcPr>
          <w:p w14:paraId="1BB949EE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Al menos 10 bebidas durante el mes previo a la evaluación basal</w:t>
            </w:r>
          </w:p>
        </w:tc>
        <w:tc>
          <w:tcPr>
            <w:tcW w:w="968" w:type="dxa"/>
          </w:tcPr>
          <w:p w14:paraId="1BB949EF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12</w:t>
            </w:r>
          </w:p>
        </w:tc>
        <w:tc>
          <w:tcPr>
            <w:tcW w:w="1468" w:type="dxa"/>
          </w:tcPr>
          <w:p w14:paraId="1BB949F0" w14:textId="3BAA28C1" w:rsidR="00283E54" w:rsidRPr="00D711E3" w:rsidRDefault="00283E54" w:rsidP="0032521D">
            <w:pPr>
              <w:rPr>
                <w:rFonts w:cs="Arial"/>
                <w:b w:val="0"/>
                <w:sz w:val="18"/>
                <w:szCs w:val="18"/>
                <w:shd w:val="clear" w:color="auto" w:fill="FFFFFF"/>
              </w:rPr>
            </w:pPr>
            <w:r w:rsidRPr="00D711E3">
              <w:rPr>
                <w:rFonts w:cs="Arial"/>
                <w:b w:val="0"/>
                <w:sz w:val="18"/>
                <w:szCs w:val="18"/>
                <w:shd w:val="clear" w:color="auto" w:fill="FFFFFF"/>
              </w:rPr>
              <w:t xml:space="preserve">TCC y terapia motivacional </w:t>
            </w:r>
          </w:p>
        </w:tc>
        <w:tc>
          <w:tcPr>
            <w:tcW w:w="6135" w:type="dxa"/>
          </w:tcPr>
          <w:p w14:paraId="1BB949F1" w14:textId="1BD8A68D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TLFB: Los sujetos </w:t>
            </w:r>
            <w:r w:rsidR="0068369C">
              <w:rPr>
                <w:b w:val="0"/>
                <w:sz w:val="18"/>
                <w:szCs w:val="18"/>
              </w:rPr>
              <w:t>d</w:t>
            </w:r>
            <w:r w:rsidRPr="00D711E3">
              <w:rPr>
                <w:b w:val="0"/>
                <w:sz w:val="18"/>
                <w:szCs w:val="18"/>
              </w:rPr>
              <w:t xml:space="preserve">el grupo fluoxetina y </w:t>
            </w:r>
            <w:r w:rsidR="0068369C">
              <w:rPr>
                <w:b w:val="0"/>
                <w:sz w:val="18"/>
                <w:szCs w:val="18"/>
              </w:rPr>
              <w:t>d</w:t>
            </w:r>
            <w:r w:rsidRPr="00D711E3">
              <w:rPr>
                <w:b w:val="0"/>
                <w:sz w:val="18"/>
                <w:szCs w:val="18"/>
              </w:rPr>
              <w:t xml:space="preserve">el grupo placebo mostraron una </w:t>
            </w:r>
            <w:r w:rsidR="0068369C">
              <w:rPr>
                <w:b w:val="0"/>
                <w:sz w:val="18"/>
                <w:szCs w:val="18"/>
              </w:rPr>
              <w:t>disminución</w:t>
            </w:r>
            <w:r w:rsidRPr="00D711E3">
              <w:rPr>
                <w:b w:val="0"/>
                <w:sz w:val="18"/>
                <w:szCs w:val="18"/>
              </w:rPr>
              <w:t xml:space="preserve"> significativa </w:t>
            </w:r>
            <w:r w:rsidR="0068369C">
              <w:rPr>
                <w:b w:val="0"/>
                <w:sz w:val="18"/>
                <w:szCs w:val="18"/>
              </w:rPr>
              <w:t>del</w:t>
            </w:r>
            <w:r w:rsidRPr="00D711E3">
              <w:rPr>
                <w:b w:val="0"/>
                <w:sz w:val="18"/>
                <w:szCs w:val="18"/>
              </w:rPr>
              <w:t xml:space="preserve"> consumo de alcohol. </w:t>
            </w:r>
          </w:p>
          <w:p w14:paraId="1BB949F2" w14:textId="0EC3B762" w:rsidR="00283E54" w:rsidRPr="00D711E3" w:rsidRDefault="00781CA2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HAMD: Los sujetos </w:t>
            </w:r>
            <w:r w:rsidR="0068369C">
              <w:rPr>
                <w:b w:val="0"/>
                <w:sz w:val="18"/>
                <w:szCs w:val="18"/>
              </w:rPr>
              <w:t>d</w:t>
            </w:r>
            <w:r w:rsidR="00283E54" w:rsidRPr="00D711E3">
              <w:rPr>
                <w:b w:val="0"/>
                <w:sz w:val="18"/>
                <w:szCs w:val="18"/>
              </w:rPr>
              <w:t xml:space="preserve">el grupo de fluoxetina y </w:t>
            </w:r>
            <w:r w:rsidR="0068369C">
              <w:rPr>
                <w:b w:val="0"/>
                <w:sz w:val="18"/>
                <w:szCs w:val="18"/>
              </w:rPr>
              <w:t>d</w:t>
            </w:r>
            <w:r w:rsidR="00283E54" w:rsidRPr="00D711E3">
              <w:rPr>
                <w:b w:val="0"/>
                <w:sz w:val="18"/>
                <w:szCs w:val="18"/>
              </w:rPr>
              <w:t>el grupo placebo mostraron una mejora significativa de los síntomas depresivos.</w:t>
            </w:r>
          </w:p>
        </w:tc>
      </w:tr>
      <w:tr w:rsidR="00283E54" w:rsidRPr="00D711E3" w14:paraId="1BB94A03" w14:textId="77777777" w:rsidTr="0068368B">
        <w:tc>
          <w:tcPr>
            <w:tcW w:w="1246" w:type="dxa"/>
          </w:tcPr>
          <w:p w14:paraId="1BB949F4" w14:textId="77777777" w:rsidR="00283E54" w:rsidRPr="0068368B" w:rsidRDefault="00283E54" w:rsidP="0032521D">
            <w:pPr>
              <w:rPr>
                <w:b w:val="0"/>
                <w:sz w:val="18"/>
                <w:szCs w:val="18"/>
              </w:rPr>
            </w:pPr>
            <w:proofErr w:type="spellStart"/>
            <w:r w:rsidRPr="0068368B">
              <w:rPr>
                <w:b w:val="0"/>
                <w:sz w:val="18"/>
                <w:szCs w:val="18"/>
              </w:rPr>
              <w:t>Pettinati</w:t>
            </w:r>
            <w:proofErr w:type="spellEnd"/>
            <w:r w:rsidRPr="0068368B">
              <w:rPr>
                <w:b w:val="0"/>
                <w:sz w:val="18"/>
                <w:szCs w:val="18"/>
              </w:rPr>
              <w:t xml:space="preserve"> 2010</w:t>
            </w:r>
          </w:p>
          <w:p w14:paraId="1BB949F5" w14:textId="77777777" w:rsidR="00283E54" w:rsidRPr="0068368B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682" w:type="dxa"/>
          </w:tcPr>
          <w:p w14:paraId="1BB949F6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Sertralina (200) </w:t>
            </w:r>
          </w:p>
          <w:p w14:paraId="1BB949F7" w14:textId="7A47931A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Naltrexona (100) </w:t>
            </w:r>
          </w:p>
          <w:p w14:paraId="26E33C8A" w14:textId="77777777" w:rsidR="0068369C" w:rsidRPr="00D711E3" w:rsidRDefault="0068369C" w:rsidP="0032521D">
            <w:pPr>
              <w:rPr>
                <w:b w:val="0"/>
                <w:sz w:val="18"/>
                <w:szCs w:val="18"/>
              </w:rPr>
            </w:pPr>
          </w:p>
          <w:p w14:paraId="1BB949F8" w14:textId="478FA340" w:rsidR="00283E54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Sertralina (200)</w:t>
            </w:r>
            <w:r w:rsidR="0068369C">
              <w:rPr>
                <w:b w:val="0"/>
                <w:sz w:val="18"/>
                <w:szCs w:val="18"/>
              </w:rPr>
              <w:t xml:space="preserve"> </w:t>
            </w:r>
            <w:r w:rsidRPr="00D711E3">
              <w:rPr>
                <w:b w:val="0"/>
                <w:sz w:val="18"/>
                <w:szCs w:val="18"/>
              </w:rPr>
              <w:t>+Naltrexona (100)</w:t>
            </w:r>
          </w:p>
          <w:p w14:paraId="6C7696EE" w14:textId="1C8909A5" w:rsidR="004B1CFB" w:rsidRPr="00D711E3" w:rsidRDefault="004B1CFB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Placebo</w:t>
            </w:r>
          </w:p>
          <w:p w14:paraId="1BB949F9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1687" w:type="dxa"/>
          </w:tcPr>
          <w:p w14:paraId="1BB949FA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DSM-IV-R/ SCID + cuestionario para diferenciar inducidos de primarios</w:t>
            </w:r>
          </w:p>
          <w:p w14:paraId="1BB949FB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974" w:type="dxa"/>
          </w:tcPr>
          <w:p w14:paraId="5C3B2FA1" w14:textId="77777777" w:rsidR="00031A07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40</w:t>
            </w:r>
          </w:p>
          <w:p w14:paraId="24955891" w14:textId="77777777" w:rsidR="00031A07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 xml:space="preserve">49 </w:t>
            </w:r>
          </w:p>
          <w:p w14:paraId="374DAA64" w14:textId="77777777" w:rsidR="00031A07" w:rsidRDefault="00031A07" w:rsidP="00031A07">
            <w:pPr>
              <w:ind w:hanging="83"/>
              <w:rPr>
                <w:b w:val="0"/>
                <w:sz w:val="18"/>
                <w:szCs w:val="18"/>
              </w:rPr>
            </w:pPr>
          </w:p>
          <w:p w14:paraId="1BB949FC" w14:textId="10736DF3" w:rsidR="00283E54" w:rsidRPr="00D711E3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42</w:t>
            </w:r>
          </w:p>
          <w:p w14:paraId="2D624773" w14:textId="77777777" w:rsidR="00283E54" w:rsidRDefault="00283E54" w:rsidP="00031A07">
            <w:pPr>
              <w:ind w:hanging="83"/>
              <w:rPr>
                <w:b w:val="0"/>
                <w:sz w:val="18"/>
                <w:szCs w:val="18"/>
              </w:rPr>
            </w:pPr>
          </w:p>
          <w:p w14:paraId="1BB949FD" w14:textId="55CE9979" w:rsidR="00031A07" w:rsidRPr="00D711E3" w:rsidRDefault="00031A07" w:rsidP="00031A07">
            <w:pPr>
              <w:ind w:hanging="83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39 Placebo</w:t>
            </w:r>
          </w:p>
        </w:tc>
        <w:tc>
          <w:tcPr>
            <w:tcW w:w="1428" w:type="dxa"/>
          </w:tcPr>
          <w:p w14:paraId="1BB949FE" w14:textId="77777777" w:rsidR="00283E54" w:rsidRPr="00D711E3" w:rsidRDefault="00781CA2" w:rsidP="0032521D">
            <w:p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12 o más bebidas alcohóli</w:t>
            </w:r>
            <w:r w:rsidR="00283E54" w:rsidRPr="00D711E3">
              <w:rPr>
                <w:b w:val="0"/>
                <w:sz w:val="18"/>
                <w:szCs w:val="18"/>
              </w:rPr>
              <w:t>cas por semana</w:t>
            </w:r>
          </w:p>
        </w:tc>
        <w:tc>
          <w:tcPr>
            <w:tcW w:w="968" w:type="dxa"/>
          </w:tcPr>
          <w:p w14:paraId="1BB949FF" w14:textId="77777777" w:rsidR="00283E54" w:rsidRPr="00D711E3" w:rsidRDefault="00283E54" w:rsidP="0068369C">
            <w:pPr>
              <w:jc w:val="center"/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1468" w:type="dxa"/>
          </w:tcPr>
          <w:p w14:paraId="1BB94A00" w14:textId="77777777" w:rsidR="00283E54" w:rsidRPr="00D711E3" w:rsidRDefault="00283E54" w:rsidP="0032521D">
            <w:pPr>
              <w:rPr>
                <w:b w:val="0"/>
                <w:sz w:val="18"/>
                <w:szCs w:val="18"/>
                <w:highlight w:val="red"/>
              </w:rPr>
            </w:pPr>
            <w:r w:rsidRPr="00D711E3">
              <w:rPr>
                <w:b w:val="0"/>
                <w:sz w:val="18"/>
                <w:szCs w:val="18"/>
              </w:rPr>
              <w:t>TCC semanal</w:t>
            </w:r>
          </w:p>
        </w:tc>
        <w:tc>
          <w:tcPr>
            <w:tcW w:w="6135" w:type="dxa"/>
          </w:tcPr>
          <w:p w14:paraId="1BB94A01" w14:textId="7777777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TLFB: La combinación sertralina + naltrexona produjo una tasa de abstinencia de alcohol más alta (53,7%; p = 0,001; OR = 3,7), que los otros grupos de tratamiento: naltre</w:t>
            </w:r>
            <w:r w:rsidR="00781CA2">
              <w:rPr>
                <w:b w:val="0"/>
                <w:sz w:val="18"/>
                <w:szCs w:val="18"/>
              </w:rPr>
              <w:t>xona (21,3%), sertralina (27,5%)</w:t>
            </w:r>
            <w:r w:rsidRPr="00D711E3">
              <w:rPr>
                <w:b w:val="0"/>
                <w:sz w:val="18"/>
                <w:szCs w:val="18"/>
              </w:rPr>
              <w:t>, o placebo (23,1%)</w:t>
            </w:r>
          </w:p>
          <w:p w14:paraId="1BB94A02" w14:textId="24C02BD7" w:rsidR="00283E54" w:rsidRPr="00D711E3" w:rsidRDefault="00283E54" w:rsidP="0032521D">
            <w:pPr>
              <w:rPr>
                <w:b w:val="0"/>
                <w:sz w:val="18"/>
                <w:szCs w:val="18"/>
              </w:rPr>
            </w:pPr>
            <w:r w:rsidRPr="00D711E3">
              <w:rPr>
                <w:b w:val="0"/>
                <w:sz w:val="18"/>
                <w:szCs w:val="18"/>
              </w:rPr>
              <w:t>HAMD: los pacientes en</w:t>
            </w:r>
            <w:r w:rsidR="0068369C">
              <w:rPr>
                <w:b w:val="0"/>
                <w:sz w:val="18"/>
                <w:szCs w:val="18"/>
              </w:rPr>
              <w:t xml:space="preserve"> </w:t>
            </w:r>
            <w:r w:rsidR="0068369C" w:rsidRPr="00D711E3">
              <w:rPr>
                <w:b w:val="0"/>
                <w:sz w:val="18"/>
                <w:szCs w:val="18"/>
              </w:rPr>
              <w:t xml:space="preserve">sertralina + naltrexona </w:t>
            </w:r>
            <w:r w:rsidRPr="00D711E3">
              <w:rPr>
                <w:b w:val="0"/>
                <w:sz w:val="18"/>
                <w:szCs w:val="18"/>
              </w:rPr>
              <w:t xml:space="preserve">estaban menos deprimidos al final del tratamiento (83,3%; p = .014; </w:t>
            </w:r>
            <w:r w:rsidR="009F4788">
              <w:rPr>
                <w:b w:val="0"/>
                <w:sz w:val="18"/>
                <w:szCs w:val="18"/>
              </w:rPr>
              <w:t>OR</w:t>
            </w:r>
            <w:r w:rsidRPr="00D711E3">
              <w:rPr>
                <w:b w:val="0"/>
                <w:sz w:val="18"/>
                <w:szCs w:val="18"/>
              </w:rPr>
              <w:t>=3,6), en comparación con los otros grupos.</w:t>
            </w:r>
          </w:p>
        </w:tc>
      </w:tr>
    </w:tbl>
    <w:p w14:paraId="678824D3" w14:textId="0DF6FFE2" w:rsidR="00F52AE2" w:rsidRPr="009F4788" w:rsidRDefault="00F52AE2" w:rsidP="00F52AE2">
      <w:pPr>
        <w:ind w:left="-567" w:right="426"/>
        <w:rPr>
          <w:rFonts w:cs="Segoe UI"/>
          <w:b w:val="0"/>
          <w:sz w:val="18"/>
          <w:szCs w:val="18"/>
          <w:lang w:val="en-US"/>
        </w:rPr>
      </w:pPr>
      <w:r w:rsidRPr="009F4788">
        <w:rPr>
          <w:b w:val="0"/>
          <w:sz w:val="18"/>
          <w:szCs w:val="18"/>
          <w:lang w:val="en-US"/>
        </w:rPr>
        <w:t xml:space="preserve">BDI: Beck Depression </w:t>
      </w:r>
      <w:proofErr w:type="spellStart"/>
      <w:r w:rsidRPr="009F4788">
        <w:rPr>
          <w:b w:val="0"/>
          <w:sz w:val="18"/>
          <w:szCs w:val="18"/>
          <w:lang w:val="en-US"/>
        </w:rPr>
        <w:t>Invent</w:t>
      </w:r>
      <w:r w:rsidR="00DA0EF7" w:rsidRPr="009F4788">
        <w:rPr>
          <w:b w:val="0"/>
          <w:sz w:val="18"/>
          <w:szCs w:val="18"/>
          <w:lang w:val="en-US"/>
        </w:rPr>
        <w:t>a</w:t>
      </w:r>
      <w:r w:rsidRPr="009F4788">
        <w:rPr>
          <w:b w:val="0"/>
          <w:sz w:val="18"/>
          <w:szCs w:val="18"/>
          <w:lang w:val="en-US"/>
        </w:rPr>
        <w:t>ry</w:t>
      </w:r>
      <w:proofErr w:type="spellEnd"/>
      <w:r w:rsidRPr="009F4788">
        <w:rPr>
          <w:b w:val="0"/>
          <w:sz w:val="18"/>
          <w:szCs w:val="18"/>
          <w:lang w:val="en-US"/>
        </w:rPr>
        <w:t xml:space="preserve">; </w:t>
      </w:r>
      <w:r w:rsidRPr="009F4788">
        <w:rPr>
          <w:rFonts w:cs="AdvP7B6C"/>
          <w:b w:val="0"/>
          <w:sz w:val="18"/>
          <w:szCs w:val="18"/>
          <w:lang w:val="en-US"/>
        </w:rPr>
        <w:t xml:space="preserve">DSM-IV: Manual </w:t>
      </w:r>
      <w:proofErr w:type="spellStart"/>
      <w:r w:rsidRPr="009F4788">
        <w:rPr>
          <w:rFonts w:cs="AdvP7B6C"/>
          <w:b w:val="0"/>
          <w:sz w:val="18"/>
          <w:szCs w:val="18"/>
          <w:lang w:val="en-US"/>
        </w:rPr>
        <w:t>diagnóstico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 xml:space="preserve"> y </w:t>
      </w:r>
      <w:proofErr w:type="spellStart"/>
      <w:r w:rsidRPr="009F4788">
        <w:rPr>
          <w:rFonts w:cs="AdvP7B6C"/>
          <w:b w:val="0"/>
          <w:sz w:val="18"/>
          <w:szCs w:val="18"/>
          <w:lang w:val="en-US"/>
        </w:rPr>
        <w:t>estadístico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 xml:space="preserve"> de los </w:t>
      </w:r>
      <w:proofErr w:type="spellStart"/>
      <w:r w:rsidRPr="009F4788">
        <w:rPr>
          <w:rFonts w:cs="AdvP7B6C"/>
          <w:b w:val="0"/>
          <w:sz w:val="18"/>
          <w:szCs w:val="18"/>
          <w:lang w:val="en-US"/>
        </w:rPr>
        <w:t>trastornos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 xml:space="preserve"> </w:t>
      </w:r>
      <w:proofErr w:type="spellStart"/>
      <w:r w:rsidRPr="009F4788">
        <w:rPr>
          <w:rFonts w:cs="AdvP7B6C"/>
          <w:b w:val="0"/>
          <w:sz w:val="18"/>
          <w:szCs w:val="18"/>
          <w:lang w:val="en-US"/>
        </w:rPr>
        <w:t>mentales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>;</w:t>
      </w:r>
      <w:r w:rsidRPr="009F4788">
        <w:rPr>
          <w:b w:val="0"/>
          <w:sz w:val="18"/>
          <w:szCs w:val="18"/>
          <w:lang w:val="en-US"/>
        </w:rPr>
        <w:t xml:space="preserve"> ECA: </w:t>
      </w:r>
      <w:proofErr w:type="spellStart"/>
      <w:r w:rsidRPr="009F4788">
        <w:rPr>
          <w:b w:val="0"/>
          <w:sz w:val="18"/>
          <w:szCs w:val="18"/>
          <w:lang w:val="en-US"/>
        </w:rPr>
        <w:t>Ensayo</w:t>
      </w:r>
      <w:proofErr w:type="spellEnd"/>
      <w:r w:rsidRPr="009F4788">
        <w:rPr>
          <w:b w:val="0"/>
          <w:sz w:val="18"/>
          <w:szCs w:val="18"/>
          <w:lang w:val="en-US"/>
        </w:rPr>
        <w:t xml:space="preserve"> </w:t>
      </w:r>
      <w:proofErr w:type="spellStart"/>
      <w:r w:rsidRPr="009F4788">
        <w:rPr>
          <w:b w:val="0"/>
          <w:sz w:val="18"/>
          <w:szCs w:val="18"/>
          <w:lang w:val="en-US"/>
        </w:rPr>
        <w:t>clínico</w:t>
      </w:r>
      <w:proofErr w:type="spellEnd"/>
      <w:r w:rsidRPr="009F4788">
        <w:rPr>
          <w:b w:val="0"/>
          <w:sz w:val="18"/>
          <w:szCs w:val="18"/>
          <w:lang w:val="en-US"/>
        </w:rPr>
        <w:t xml:space="preserve"> </w:t>
      </w:r>
      <w:proofErr w:type="spellStart"/>
      <w:r w:rsidRPr="009F4788">
        <w:rPr>
          <w:b w:val="0"/>
          <w:sz w:val="18"/>
          <w:szCs w:val="18"/>
          <w:lang w:val="en-US"/>
        </w:rPr>
        <w:t>aleatorizado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 xml:space="preserve">; HAMD: </w:t>
      </w:r>
      <w:proofErr w:type="spellStart"/>
      <w:r w:rsidRPr="009F4788">
        <w:rPr>
          <w:rFonts w:cs="AdvP7B6C"/>
          <w:b w:val="0"/>
          <w:sz w:val="18"/>
          <w:szCs w:val="18"/>
          <w:lang w:val="en-US"/>
        </w:rPr>
        <w:t>Escala</w:t>
      </w:r>
      <w:proofErr w:type="spellEnd"/>
      <w:r w:rsidRPr="009F4788">
        <w:rPr>
          <w:rFonts w:cs="AdvP7B6C"/>
          <w:b w:val="0"/>
          <w:sz w:val="18"/>
          <w:szCs w:val="18"/>
          <w:lang w:val="en-US"/>
        </w:rPr>
        <w:t xml:space="preserve"> Hamilton depression;</w:t>
      </w:r>
      <w:r w:rsidRPr="009F4788">
        <w:rPr>
          <w:b w:val="0"/>
          <w:sz w:val="18"/>
          <w:szCs w:val="18"/>
          <w:lang w:val="en-US"/>
        </w:rPr>
        <w:t xml:space="preserve"> K-SADS-PL: </w:t>
      </w:r>
      <w:r w:rsidRPr="009F4788">
        <w:rPr>
          <w:b w:val="0"/>
          <w:bCs w:val="0"/>
          <w:sz w:val="18"/>
          <w:szCs w:val="18"/>
          <w:lang w:val="en-US"/>
        </w:rPr>
        <w:t>The Schedule for Affective Disorders and Schizophrenia for School-Age Children-Present and Lifetime version;</w:t>
      </w:r>
      <w:r w:rsidRPr="009F4788">
        <w:rPr>
          <w:b w:val="0"/>
          <w:sz w:val="18"/>
          <w:szCs w:val="18"/>
          <w:lang w:val="en-US"/>
        </w:rPr>
        <w:t xml:space="preserve"> MADRS: Montgomery-</w:t>
      </w:r>
      <w:proofErr w:type="spellStart"/>
      <w:r w:rsidRPr="009F4788">
        <w:rPr>
          <w:b w:val="0"/>
          <w:sz w:val="18"/>
          <w:szCs w:val="18"/>
          <w:lang w:val="en-US"/>
        </w:rPr>
        <w:t>Asberg</w:t>
      </w:r>
      <w:proofErr w:type="spellEnd"/>
      <w:r w:rsidRPr="009F4788">
        <w:rPr>
          <w:b w:val="0"/>
          <w:sz w:val="18"/>
          <w:szCs w:val="18"/>
          <w:lang w:val="en-US"/>
        </w:rPr>
        <w:t xml:space="preserve"> Depression Rating Scale;</w:t>
      </w:r>
      <w:r w:rsidRPr="009F4788">
        <w:rPr>
          <w:rFonts w:cs="AdvP7B6C"/>
          <w:b w:val="0"/>
          <w:sz w:val="18"/>
          <w:szCs w:val="18"/>
          <w:lang w:val="en-US"/>
        </w:rPr>
        <w:t xml:space="preserve"> </w:t>
      </w:r>
      <w:r w:rsidR="009F4788">
        <w:rPr>
          <w:rFonts w:cs="AdvP7B6C"/>
          <w:b w:val="0"/>
          <w:sz w:val="18"/>
          <w:szCs w:val="18"/>
          <w:lang w:val="en-US"/>
        </w:rPr>
        <w:t xml:space="preserve">OR: Odds Ratio; </w:t>
      </w:r>
      <w:r w:rsidRPr="009F4788">
        <w:rPr>
          <w:rFonts w:cs="AdvP7B6C"/>
          <w:b w:val="0"/>
          <w:sz w:val="18"/>
          <w:szCs w:val="18"/>
          <w:lang w:val="en-US"/>
        </w:rPr>
        <w:t xml:space="preserve">PRISM: Psychiatric Research Interview for Substance Use Disorders; SCID: Structured Clinical Interview for DSM Disorders; </w:t>
      </w:r>
      <w:r w:rsidR="001D3A9A" w:rsidRPr="009F4788">
        <w:rPr>
          <w:rFonts w:cs="AdvP7B6C"/>
          <w:b w:val="0"/>
          <w:sz w:val="18"/>
          <w:szCs w:val="18"/>
          <w:lang w:val="en-US"/>
        </w:rPr>
        <w:t xml:space="preserve">TCC: </w:t>
      </w:r>
      <w:proofErr w:type="spellStart"/>
      <w:r w:rsidR="001D3A9A" w:rsidRPr="009F4788">
        <w:rPr>
          <w:rFonts w:cs="AdvP7B6C"/>
          <w:b w:val="0"/>
          <w:sz w:val="18"/>
          <w:szCs w:val="18"/>
          <w:lang w:val="en-US"/>
        </w:rPr>
        <w:t>Terapia</w:t>
      </w:r>
      <w:proofErr w:type="spellEnd"/>
      <w:r w:rsidR="001D3A9A" w:rsidRPr="009F4788">
        <w:rPr>
          <w:rFonts w:cs="AdvP7B6C"/>
          <w:b w:val="0"/>
          <w:sz w:val="18"/>
          <w:szCs w:val="18"/>
          <w:lang w:val="en-US"/>
        </w:rPr>
        <w:t xml:space="preserve"> </w:t>
      </w:r>
      <w:proofErr w:type="spellStart"/>
      <w:r w:rsidR="001D3A9A" w:rsidRPr="009F4788">
        <w:rPr>
          <w:rFonts w:cs="AdvP7B6C"/>
          <w:b w:val="0"/>
          <w:sz w:val="18"/>
          <w:szCs w:val="18"/>
          <w:lang w:val="en-US"/>
        </w:rPr>
        <w:t>cognitivo-conductual</w:t>
      </w:r>
      <w:proofErr w:type="spellEnd"/>
      <w:r w:rsidR="001D3A9A" w:rsidRPr="009F4788">
        <w:rPr>
          <w:rFonts w:cs="AdvP7B6C"/>
          <w:b w:val="0"/>
          <w:sz w:val="18"/>
          <w:szCs w:val="18"/>
          <w:lang w:val="en-US"/>
        </w:rPr>
        <w:t xml:space="preserve">; </w:t>
      </w:r>
      <w:r w:rsidRPr="009F4788">
        <w:rPr>
          <w:b w:val="0"/>
          <w:sz w:val="18"/>
          <w:szCs w:val="18"/>
          <w:lang w:val="en-US"/>
        </w:rPr>
        <w:t>TLFB: Time line follow back</w:t>
      </w:r>
    </w:p>
    <w:p w14:paraId="28D858D7" w14:textId="6CF9B0C1" w:rsidR="00F52AE2" w:rsidRPr="00F52AE2" w:rsidRDefault="00F52AE2" w:rsidP="00F52AE2">
      <w:pPr>
        <w:autoSpaceDE w:val="0"/>
        <w:autoSpaceDN w:val="0"/>
        <w:adjustRightInd w:val="0"/>
        <w:ind w:left="-567" w:right="284"/>
        <w:rPr>
          <w:rFonts w:cs="AdvP7B6C"/>
          <w:b w:val="0"/>
          <w:sz w:val="18"/>
          <w:szCs w:val="18"/>
          <w:lang w:val="en-US"/>
        </w:rPr>
      </w:pPr>
    </w:p>
    <w:p w14:paraId="2545903D" w14:textId="0ED50454" w:rsidR="00F52AE2" w:rsidRPr="00F52AE2" w:rsidRDefault="00F52AE2" w:rsidP="00F52AE2">
      <w:pPr>
        <w:rPr>
          <w:b w:val="0"/>
          <w:bCs w:val="0"/>
          <w:sz w:val="18"/>
          <w:szCs w:val="18"/>
          <w:lang w:val="en-US"/>
        </w:rPr>
      </w:pPr>
    </w:p>
    <w:p w14:paraId="39004BFE" w14:textId="78BB2EE7" w:rsidR="00F52AE2" w:rsidRPr="00F52AE2" w:rsidRDefault="00F52AE2" w:rsidP="00F52AE2">
      <w:pPr>
        <w:rPr>
          <w:b w:val="0"/>
          <w:sz w:val="18"/>
          <w:szCs w:val="18"/>
          <w:lang w:val="en-US"/>
        </w:rPr>
      </w:pPr>
    </w:p>
    <w:p w14:paraId="75A985C3" w14:textId="5B702537" w:rsidR="00F52AE2" w:rsidRPr="00F52AE2" w:rsidRDefault="00F52AE2" w:rsidP="00F52AE2">
      <w:pPr>
        <w:rPr>
          <w:b w:val="0"/>
          <w:sz w:val="18"/>
          <w:szCs w:val="18"/>
          <w:lang w:val="en-US"/>
        </w:rPr>
      </w:pPr>
    </w:p>
    <w:p w14:paraId="7130A48C" w14:textId="5407DD29" w:rsidR="00D26651" w:rsidRPr="00031A07" w:rsidRDefault="00D26651" w:rsidP="00F27F6F">
      <w:pPr>
        <w:rPr>
          <w:b w:val="0"/>
          <w:sz w:val="18"/>
          <w:szCs w:val="18"/>
          <w:lang w:val="en-US"/>
        </w:rPr>
      </w:pPr>
    </w:p>
    <w:p w14:paraId="78E7AB0E" w14:textId="77777777" w:rsidR="00F52AE2" w:rsidRPr="00031A07" w:rsidRDefault="00F52AE2">
      <w:pPr>
        <w:rPr>
          <w:rFonts w:cs="Segoe UI"/>
          <w:b w:val="0"/>
          <w:sz w:val="18"/>
          <w:szCs w:val="18"/>
          <w:lang w:val="en-US"/>
        </w:rPr>
      </w:pPr>
    </w:p>
    <w:sectPr w:rsidR="00F52AE2" w:rsidRPr="00031A07" w:rsidSect="00EE4157">
      <w:pgSz w:w="16838" w:h="11906" w:orient="landscape"/>
      <w:pgMar w:top="851" w:right="25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65 Medium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801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7B6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D9D"/>
    <w:rsid w:val="00031A07"/>
    <w:rsid w:val="000713DB"/>
    <w:rsid w:val="000E110D"/>
    <w:rsid w:val="00117F28"/>
    <w:rsid w:val="001A0FBE"/>
    <w:rsid w:val="001B744E"/>
    <w:rsid w:val="001D3A9A"/>
    <w:rsid w:val="0026514D"/>
    <w:rsid w:val="00283E54"/>
    <w:rsid w:val="002B3E04"/>
    <w:rsid w:val="0032521D"/>
    <w:rsid w:val="004B1CFB"/>
    <w:rsid w:val="004D2225"/>
    <w:rsid w:val="004F2DE6"/>
    <w:rsid w:val="00675048"/>
    <w:rsid w:val="0068368B"/>
    <w:rsid w:val="0068369C"/>
    <w:rsid w:val="00697EC6"/>
    <w:rsid w:val="006E4D3A"/>
    <w:rsid w:val="00754FC3"/>
    <w:rsid w:val="00781CA2"/>
    <w:rsid w:val="00835034"/>
    <w:rsid w:val="00853FF9"/>
    <w:rsid w:val="008C19AD"/>
    <w:rsid w:val="009440E0"/>
    <w:rsid w:val="00945BDF"/>
    <w:rsid w:val="009F4788"/>
    <w:rsid w:val="00B52B36"/>
    <w:rsid w:val="00BD3A25"/>
    <w:rsid w:val="00BE7D76"/>
    <w:rsid w:val="00CC1F29"/>
    <w:rsid w:val="00D26651"/>
    <w:rsid w:val="00D711E3"/>
    <w:rsid w:val="00DA0EF7"/>
    <w:rsid w:val="00E5113D"/>
    <w:rsid w:val="00E80D9D"/>
    <w:rsid w:val="00ED498E"/>
    <w:rsid w:val="00EE174C"/>
    <w:rsid w:val="00EE4157"/>
    <w:rsid w:val="00F27F6F"/>
    <w:rsid w:val="00F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94941"/>
  <w15:docId w15:val="{2C573802-ED67-4543-B051-2D534CCA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E54"/>
    <w:pPr>
      <w:spacing w:after="0" w:line="240" w:lineRule="auto"/>
      <w:jc w:val="both"/>
    </w:pPr>
    <w:rPr>
      <w:rFonts w:ascii="Calibri" w:eastAsia="Calibri" w:hAnsi="Calibri" w:cs="Calibri"/>
      <w:b/>
      <w:bCs/>
      <w:color w:val="000000"/>
      <w:sz w:val="20"/>
      <w:szCs w:val="20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rsid w:val="00283E54"/>
    <w:pPr>
      <w:spacing w:after="200" w:line="240" w:lineRule="auto"/>
      <w:jc w:val="both"/>
    </w:pPr>
    <w:rPr>
      <w:rFonts w:ascii="Calibri" w:eastAsia="Calibri" w:hAnsi="Calibri" w:cs="Calibri"/>
      <w:b/>
      <w:bCs/>
      <w:color w:val="000000"/>
      <w:sz w:val="24"/>
      <w:szCs w:val="24"/>
      <w:u w:color="002060"/>
      <w:lang w:val="es-ES_tradnl" w:eastAsia="es-ES"/>
    </w:rPr>
  </w:style>
  <w:style w:type="table" w:styleId="Tablaconcuadrcula">
    <w:name w:val="Table Grid"/>
    <w:basedOn w:val="Tablanormal"/>
    <w:uiPriority w:val="59"/>
    <w:rsid w:val="00283E54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A">
    <w:name w:val="Cuerpo A"/>
    <w:uiPriority w:val="99"/>
    <w:rsid w:val="00283E54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s-ES_tradnl" w:eastAsia="es-ES"/>
    </w:rPr>
  </w:style>
  <w:style w:type="character" w:customStyle="1" w:styleId="Ninguno">
    <w:name w:val="Ninguno"/>
    <w:rsid w:val="00283E54"/>
    <w:rPr>
      <w:lang w:val="es-ES_tradnl"/>
    </w:rPr>
  </w:style>
  <w:style w:type="character" w:customStyle="1" w:styleId="Nmerodepgina1">
    <w:name w:val="Número de página1"/>
    <w:autoRedefine/>
    <w:rsid w:val="00283E54"/>
    <w:rPr>
      <w:lang w:val="es-ES_tradnl"/>
    </w:rPr>
  </w:style>
  <w:style w:type="paragraph" w:customStyle="1" w:styleId="Cuerpo">
    <w:name w:val="Cuerpo"/>
    <w:uiPriority w:val="99"/>
    <w:rsid w:val="00283E5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lang w:eastAsia="es-ES"/>
    </w:rPr>
  </w:style>
  <w:style w:type="paragraph" w:customStyle="1" w:styleId="Contenidodelatabla">
    <w:name w:val="Contenido de la tabla"/>
    <w:basedOn w:val="Normal"/>
    <w:rsid w:val="00E5113D"/>
    <w:pPr>
      <w:suppressLineNumbers/>
      <w:suppressAutoHyphens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ca-ES" w:eastAsia="ar-SA"/>
    </w:rPr>
  </w:style>
  <w:style w:type="character" w:customStyle="1" w:styleId="A6">
    <w:name w:val="A6"/>
    <w:uiPriority w:val="99"/>
    <w:rsid w:val="00781CA2"/>
    <w:rPr>
      <w:rFonts w:cs="Helvetica 65 Medium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08234-8CD1-4C84-83BB-8181CE88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Arranz</dc:creator>
  <cp:keywords/>
  <dc:description/>
  <cp:lastModifiedBy>Belen Arranz</cp:lastModifiedBy>
  <cp:revision>27</cp:revision>
  <dcterms:created xsi:type="dcterms:W3CDTF">2016-09-11T15:16:00Z</dcterms:created>
  <dcterms:modified xsi:type="dcterms:W3CDTF">2020-04-20T11:41:00Z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