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5323" w14:textId="721B6B89" w:rsidR="00EE4157" w:rsidRPr="00EE4157" w:rsidRDefault="00ED498E" w:rsidP="005F5690">
      <w:pPr>
        <w:ind w:hanging="851"/>
        <w:rPr>
          <w:sz w:val="18"/>
          <w:szCs w:val="18"/>
          <w:u w:color="002060"/>
          <w:lang w:val="es-ES"/>
        </w:rPr>
      </w:pPr>
      <w:r>
        <w:rPr>
          <w:rStyle w:val="Ninguno"/>
          <w:sz w:val="18"/>
          <w:szCs w:val="18"/>
          <w:u w:color="002060"/>
          <w:lang w:val="es-ES"/>
        </w:rPr>
        <w:t xml:space="preserve">Tabla 1. </w:t>
      </w:r>
      <w:r w:rsidR="00EE4157">
        <w:rPr>
          <w:rStyle w:val="Ninguno"/>
          <w:sz w:val="18"/>
          <w:szCs w:val="18"/>
          <w:u w:color="002060"/>
          <w:lang w:val="es-ES"/>
        </w:rPr>
        <w:t xml:space="preserve">Trastorno bipolar y trastorno por uso de alcohol </w:t>
      </w:r>
    </w:p>
    <w:p w14:paraId="3BBA5324" w14:textId="77777777" w:rsidR="00EE4157" w:rsidRPr="00ED498E" w:rsidRDefault="00EE4157" w:rsidP="00BD3A25">
      <w:pPr>
        <w:widowControl w:val="0"/>
        <w:ind w:left="720"/>
        <w:rPr>
          <w:rFonts w:cs="Arial"/>
          <w:b w:val="0"/>
          <w:bCs w:val="0"/>
          <w:sz w:val="18"/>
          <w:szCs w:val="18"/>
          <w:u w:color="002060"/>
          <w:lang w:val="es-ES" w:eastAsia="es-ES"/>
        </w:rPr>
      </w:pPr>
    </w:p>
    <w:tbl>
      <w:tblPr>
        <w:tblW w:w="16166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842"/>
        <w:gridCol w:w="1844"/>
        <w:gridCol w:w="1310"/>
        <w:gridCol w:w="851"/>
        <w:gridCol w:w="3089"/>
        <w:gridCol w:w="4400"/>
      </w:tblGrid>
      <w:tr w:rsidR="00BD3A25" w:rsidRPr="00D711E3" w14:paraId="3BBA532D" w14:textId="77777777" w:rsidTr="00EF7EFC">
        <w:trPr>
          <w:cantSplit/>
          <w:trHeight w:val="3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5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AUTOR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6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DISEÑO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7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DIAGNÓSTICO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8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INTERVENCIÓN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9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  <w:lang w:val="pt-PT"/>
              </w:rPr>
            </w:pPr>
            <w:r w:rsidRPr="00EE4157">
              <w:rPr>
                <w:rFonts w:cs="Arial"/>
                <w:bCs w:val="0"/>
                <w:sz w:val="18"/>
                <w:szCs w:val="18"/>
                <w:lang w:val="pt-PT"/>
              </w:rPr>
              <w:t>TAMAÑO MUESTRA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A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SEGUIMIENTO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B" w14:textId="76E4273C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VARIABLES DE RESULTADO (CLÍNIC</w:t>
            </w:r>
            <w:r w:rsidR="009A177F">
              <w:rPr>
                <w:rFonts w:cs="Arial"/>
                <w:bCs w:val="0"/>
                <w:sz w:val="18"/>
                <w:szCs w:val="18"/>
              </w:rPr>
              <w:t>A</w:t>
            </w:r>
            <w:r w:rsidRPr="00EE4157">
              <w:rPr>
                <w:rFonts w:cs="Arial"/>
                <w:bCs w:val="0"/>
                <w:sz w:val="18"/>
                <w:szCs w:val="18"/>
              </w:rPr>
              <w:t>S, DE CONSUMO Y PRAGMÁTIC</w:t>
            </w:r>
            <w:r w:rsidR="009A177F">
              <w:rPr>
                <w:rFonts w:cs="Arial"/>
                <w:bCs w:val="0"/>
                <w:sz w:val="18"/>
                <w:szCs w:val="18"/>
              </w:rPr>
              <w:t>A</w:t>
            </w:r>
            <w:r w:rsidRPr="00EE4157">
              <w:rPr>
                <w:rFonts w:cs="Arial"/>
                <w:bCs w:val="0"/>
                <w:sz w:val="18"/>
                <w:szCs w:val="18"/>
              </w:rPr>
              <w:t>S)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C" w14:textId="77777777" w:rsidR="00BD3A25" w:rsidRPr="00EE4157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EE4157">
              <w:rPr>
                <w:rFonts w:cs="Arial"/>
                <w:bCs w:val="0"/>
                <w:sz w:val="18"/>
                <w:szCs w:val="18"/>
              </w:rPr>
              <w:t>LIMITACIONES Y SESGOS</w:t>
            </w:r>
          </w:p>
        </w:tc>
      </w:tr>
      <w:tr w:rsidR="00BD3A25" w:rsidRPr="00D711E3" w14:paraId="3BBA5370" w14:textId="77777777" w:rsidTr="00EF7EFC">
        <w:trPr>
          <w:cantSplit/>
          <w:trHeight w:val="12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E" w14:textId="77777777" w:rsidR="00BD3A25" w:rsidRPr="00EE4157" w:rsidRDefault="0068368B" w:rsidP="00781CA2">
            <w:pPr>
              <w:rPr>
                <w:rFonts w:cs="Arial"/>
                <w:b w:val="0"/>
                <w:sz w:val="18"/>
                <w:szCs w:val="18"/>
                <w:lang w:val="de-DE"/>
              </w:rPr>
            </w:pPr>
            <w:r>
              <w:rPr>
                <w:rFonts w:cs="Arial"/>
                <w:b w:val="0"/>
                <w:sz w:val="18"/>
                <w:szCs w:val="18"/>
                <w:lang w:val="de-DE"/>
              </w:rPr>
              <w:t xml:space="preserve">Petrakis </w:t>
            </w:r>
            <w:r w:rsidR="00BD3A25" w:rsidRPr="00EE4157">
              <w:rPr>
                <w:rFonts w:cs="Arial"/>
                <w:b w:val="0"/>
                <w:sz w:val="18"/>
                <w:szCs w:val="18"/>
                <w:lang w:val="de-DE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2F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330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331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332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333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334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35" w14:textId="6D9D06BA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3 centros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36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 Trastornos del espectro psicótico:</w:t>
            </w:r>
          </w:p>
          <w:p w14:paraId="3BBA5337" w14:textId="38FC0AFB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- E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SQ</w:t>
            </w:r>
          </w:p>
          <w:p w14:paraId="3BBA5338" w14:textId="63A932D8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- T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EA</w:t>
            </w:r>
          </w:p>
          <w:p w14:paraId="3BBA533A" w14:textId="4DE55C6D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- T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B</w:t>
            </w:r>
          </w:p>
          <w:p w14:paraId="3BBA533C" w14:textId="1C5B9D1E" w:rsidR="00BD3A25" w:rsidRPr="00EE4157" w:rsidRDefault="00BD3A25" w:rsidP="007B2857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33D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Dependencia de Alcohol</w:t>
            </w:r>
          </w:p>
          <w:p w14:paraId="3BBA533E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33F" w14:textId="77777777" w:rsidR="00BD3A25" w:rsidRPr="00EE4157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VS</w:t>
            </w:r>
          </w:p>
          <w:p w14:paraId="3BBA5340" w14:textId="77777777" w:rsidR="00BD3A25" w:rsidRPr="00EE4157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342" w14:textId="4D147E66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Trastornos del espectro no psicótico </w:t>
            </w:r>
          </w:p>
          <w:p w14:paraId="3BBA5344" w14:textId="2ABEFA7B" w:rsidR="00BD3A25" w:rsidRPr="00EE4157" w:rsidRDefault="00BD3A25" w:rsidP="007B2857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345" w14:textId="77777777" w:rsidR="00BD3A25" w:rsidRPr="00EE4157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NO Dependencia de Alcohol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46" w14:textId="19B713C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1. N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TX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. No se reporta dosis. </w:t>
            </w:r>
          </w:p>
          <w:p w14:paraId="3BBA5347" w14:textId="4229E86C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2. D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IS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 250 mg/día.</w:t>
            </w:r>
          </w:p>
          <w:p w14:paraId="3BBA5348" w14:textId="57AA9E01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3. N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TX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 + D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IS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. No se </w:t>
            </w:r>
            <w:r w:rsidR="00EF7EFC">
              <w:rPr>
                <w:rFonts w:cs="Arial"/>
                <w:b w:val="0"/>
                <w:sz w:val="18"/>
                <w:szCs w:val="18"/>
                <w:lang w:val="da-DK"/>
              </w:rPr>
              <w:t>indica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 dosis. </w:t>
            </w:r>
          </w:p>
          <w:p w14:paraId="3BBA5349" w14:textId="62E0C7FD" w:rsidR="00BD3A25" w:rsidRPr="00EE4157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4. D</w:t>
            </w:r>
            <w:r w:rsidR="002874BF">
              <w:rPr>
                <w:rFonts w:cs="Arial"/>
                <w:b w:val="0"/>
                <w:sz w:val="18"/>
                <w:szCs w:val="18"/>
                <w:lang w:val="da-DK"/>
              </w:rPr>
              <w:t>IS</w:t>
            </w: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 + placebo. Se asume dosis de 250 mg/día.  </w:t>
            </w:r>
          </w:p>
          <w:p w14:paraId="3BBA534A" w14:textId="77777777" w:rsidR="00BD3A25" w:rsidRPr="00EE4157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34B" w14:textId="01138C80" w:rsidR="00BD3A25" w:rsidRPr="00EE4157" w:rsidRDefault="001A6CE3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>P</w:t>
            </w:r>
            <w:r w:rsidR="00CC1F29">
              <w:rPr>
                <w:rFonts w:cs="Arial"/>
                <w:b w:val="0"/>
                <w:sz w:val="18"/>
                <w:szCs w:val="18"/>
                <w:lang w:val="da-DK"/>
              </w:rPr>
              <w:t>acientes con t</w:t>
            </w:r>
            <w:r w:rsidR="00BD3A25" w:rsidRPr="00EE4157">
              <w:rPr>
                <w:rFonts w:cs="Arial"/>
                <w:b w:val="0"/>
                <w:sz w:val="18"/>
                <w:szCs w:val="18"/>
                <w:lang w:val="da-DK"/>
              </w:rPr>
              <w:t xml:space="preserve">ratamiento estable: </w:t>
            </w:r>
          </w:p>
          <w:p w14:paraId="3BBA534C" w14:textId="3921BE84" w:rsidR="00BD3A25" w:rsidRPr="00EE4157" w:rsidRDefault="00870672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da-DK"/>
              </w:rPr>
              <w:t>L</w:t>
            </w:r>
            <w:r w:rsidR="00BD3A25" w:rsidRPr="00EE4157">
              <w:rPr>
                <w:rFonts w:cs="Arial"/>
                <w:b w:val="0"/>
                <w:sz w:val="18"/>
                <w:szCs w:val="18"/>
                <w:lang w:val="da-DK"/>
              </w:rPr>
              <w:t>itio</w:t>
            </w:r>
            <w:r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="00BD3A25" w:rsidRPr="00EE4157">
              <w:rPr>
                <w:rFonts w:cs="Berkeley-Medium"/>
                <w:b w:val="0"/>
                <w:color w:val="292526"/>
                <w:sz w:val="18"/>
                <w:szCs w:val="18"/>
              </w:rPr>
              <w:t xml:space="preserve">15%, </w:t>
            </w:r>
            <w:r w:rsidR="002874BF">
              <w:rPr>
                <w:rFonts w:cs="Berkeley-Medium"/>
                <w:b w:val="0"/>
                <w:color w:val="292526"/>
                <w:sz w:val="18"/>
                <w:szCs w:val="18"/>
              </w:rPr>
              <w:t>ACOM</w:t>
            </w:r>
            <w:r w:rsidR="00BD3A25" w:rsidRPr="00EE4157">
              <w:rPr>
                <w:rFonts w:cs="Berkeley-Medium"/>
                <w:b w:val="0"/>
                <w:color w:val="292526"/>
                <w:sz w:val="18"/>
                <w:szCs w:val="18"/>
              </w:rPr>
              <w:t xml:space="preserve"> 35%,</w:t>
            </w:r>
          </w:p>
          <w:p w14:paraId="3BBA534D" w14:textId="702046CA" w:rsidR="00BD3A25" w:rsidRPr="00EE4157" w:rsidRDefault="002874BF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</w:rPr>
            </w:pPr>
            <w:r>
              <w:rPr>
                <w:rFonts w:cs="Berkeley-Medium"/>
                <w:b w:val="0"/>
                <w:color w:val="292526"/>
                <w:sz w:val="18"/>
                <w:szCs w:val="18"/>
              </w:rPr>
              <w:t>AP</w:t>
            </w:r>
            <w:r w:rsidR="00BD3A25" w:rsidRPr="00EE4157">
              <w:rPr>
                <w:rFonts w:cs="Berkeley-Medium"/>
                <w:b w:val="0"/>
                <w:color w:val="292526"/>
                <w:sz w:val="18"/>
                <w:szCs w:val="18"/>
              </w:rPr>
              <w:t xml:space="preserve"> típicos 28,7%,</w:t>
            </w:r>
          </w:p>
          <w:p w14:paraId="3BBA534E" w14:textId="0BB9A08B" w:rsidR="00BD3A25" w:rsidRPr="00EE4157" w:rsidRDefault="002874BF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</w:rPr>
            </w:pPr>
            <w:r>
              <w:rPr>
                <w:rFonts w:cs="Berkeley-Medium"/>
                <w:b w:val="0"/>
                <w:color w:val="292526"/>
                <w:sz w:val="18"/>
                <w:szCs w:val="18"/>
              </w:rPr>
              <w:t>AP</w:t>
            </w:r>
            <w:r w:rsidR="00BD3A25" w:rsidRPr="00EE4157">
              <w:rPr>
                <w:rFonts w:cs="Berkeley-Medium"/>
                <w:b w:val="0"/>
                <w:color w:val="292526"/>
                <w:sz w:val="18"/>
                <w:szCs w:val="18"/>
              </w:rPr>
              <w:t xml:space="preserve"> atípicos, 15% </w:t>
            </w:r>
          </w:p>
          <w:p w14:paraId="3BBA534F" w14:textId="77777777" w:rsidR="00BD3A25" w:rsidRPr="00EE4157" w:rsidRDefault="00BD3A25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</w:rPr>
            </w:pPr>
          </w:p>
          <w:p w14:paraId="3BBA5351" w14:textId="030B7951" w:rsidR="00BD3A25" w:rsidRPr="002874BF" w:rsidRDefault="00BD3A25" w:rsidP="002874BF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 xml:space="preserve">tratamiento rehabilitador intensivo, incluyendo soporte residencial.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52" w14:textId="77777777" w:rsidR="00BD3A25" w:rsidRPr="00EE4157" w:rsidRDefault="00BD3A25" w:rsidP="002874BF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N=66</w:t>
            </w:r>
          </w:p>
          <w:p w14:paraId="3BBA5353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54" w14:textId="5F1DDBAB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- 48 (73%) T</w:t>
            </w:r>
            <w:r w:rsidR="002874BF">
              <w:rPr>
                <w:rFonts w:cs="Arial"/>
                <w:b w:val="0"/>
                <w:sz w:val="18"/>
                <w:szCs w:val="18"/>
              </w:rPr>
              <w:t>B</w:t>
            </w:r>
          </w:p>
          <w:p w14:paraId="3BBA5355" w14:textId="34A5A358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- 7 (11%) T</w:t>
            </w:r>
            <w:r w:rsidR="002874BF">
              <w:rPr>
                <w:rFonts w:cs="Arial"/>
                <w:b w:val="0"/>
                <w:sz w:val="18"/>
                <w:szCs w:val="18"/>
              </w:rPr>
              <w:t>EA</w:t>
            </w:r>
          </w:p>
          <w:p w14:paraId="3BBA5356" w14:textId="220E0DC9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- 11 (16%) E</w:t>
            </w:r>
            <w:r w:rsidR="002874BF">
              <w:rPr>
                <w:rFonts w:cs="Arial"/>
                <w:b w:val="0"/>
                <w:sz w:val="18"/>
                <w:szCs w:val="18"/>
              </w:rPr>
              <w:t>SQ</w:t>
            </w:r>
          </w:p>
          <w:p w14:paraId="3BBA5357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58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59" w14:textId="77777777" w:rsidR="00BD3A25" w:rsidRPr="00EE4157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12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5A" w14:textId="19FB5C4F" w:rsidR="00BD3A25" w:rsidRPr="00EE4157" w:rsidRDefault="002874BF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V</w:t>
            </w:r>
            <w:r w:rsidR="00BD3A25" w:rsidRPr="00EE4157">
              <w:rPr>
                <w:rFonts w:cs="Arial"/>
                <w:b w:val="0"/>
                <w:sz w:val="18"/>
                <w:szCs w:val="18"/>
              </w:rPr>
              <w:t>ariables primarias fueron de consumo de alcohol:</w:t>
            </w:r>
          </w:p>
          <w:p w14:paraId="3BBA535B" w14:textId="3C8AA473" w:rsidR="00BD3A25" w:rsidRPr="002874BF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2874BF">
              <w:rPr>
                <w:rFonts w:cs="Arial"/>
                <w:b w:val="0"/>
                <w:sz w:val="18"/>
                <w:szCs w:val="18"/>
                <w:lang w:val="en-US"/>
              </w:rPr>
              <w:t>- Timeline Follow-Back Interview</w:t>
            </w:r>
            <w:r w:rsidR="002874BF">
              <w:rPr>
                <w:rFonts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2874BF">
              <w:rPr>
                <w:rFonts w:cs="Arial"/>
                <w:b w:val="0"/>
                <w:sz w:val="18"/>
                <w:szCs w:val="18"/>
                <w:lang w:val="en-US"/>
              </w:rPr>
              <w:t>semanal.</w:t>
            </w:r>
          </w:p>
          <w:p w14:paraId="3BBA535C" w14:textId="77777777" w:rsidR="00BD3A25" w:rsidRPr="002874BF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  <w:p w14:paraId="3BBA535D" w14:textId="14EFBEAF" w:rsidR="00BD3A25" w:rsidRPr="002874BF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2874BF">
              <w:rPr>
                <w:rFonts w:cs="Arial"/>
                <w:b w:val="0"/>
                <w:sz w:val="18"/>
                <w:szCs w:val="18"/>
                <w:lang w:val="es-ES"/>
              </w:rPr>
              <w:t>- Cra</w:t>
            </w:r>
            <w:r w:rsidR="002874BF" w:rsidRPr="002874BF">
              <w:rPr>
                <w:rFonts w:cs="Arial"/>
                <w:b w:val="0"/>
                <w:sz w:val="18"/>
                <w:szCs w:val="18"/>
                <w:lang w:val="es-ES"/>
              </w:rPr>
              <w:t xml:space="preserve">ving: </w:t>
            </w:r>
            <w:r w:rsidRPr="002874BF">
              <w:rPr>
                <w:rFonts w:cs="Arial"/>
                <w:b w:val="0"/>
                <w:sz w:val="18"/>
                <w:szCs w:val="18"/>
                <w:lang w:val="es-ES"/>
              </w:rPr>
              <w:t>OCDS.</w:t>
            </w:r>
          </w:p>
          <w:p w14:paraId="3BBA535E" w14:textId="77777777" w:rsidR="00BD3A25" w:rsidRPr="009A177F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  <w:p w14:paraId="3BBA535F" w14:textId="3968D741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PANSS basal y cada 2 semanas.</w:t>
            </w:r>
          </w:p>
          <w:p w14:paraId="3BBA5360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1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EE4157">
              <w:rPr>
                <w:rFonts w:cs="Arial"/>
                <w:b w:val="0"/>
                <w:sz w:val="18"/>
                <w:szCs w:val="18"/>
                <w:lang w:val="en-US"/>
              </w:rPr>
              <w:t>- Efectos adversos: Hopkins Symptom Checklist. Semanal.</w:t>
            </w:r>
          </w:p>
          <w:p w14:paraId="3BBA5362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  <w:p w14:paraId="3BBA5363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4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5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66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Muestra pequeña.</w:t>
            </w:r>
          </w:p>
          <w:p w14:paraId="3BBA5367" w14:textId="749D9128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 xml:space="preserve">- No subanálisis por grupos diagnósticos. Al ser el </w:t>
            </w:r>
            <w:r w:rsidR="002874BF">
              <w:rPr>
                <w:rFonts w:cs="Arial"/>
                <w:b w:val="0"/>
                <w:sz w:val="18"/>
                <w:szCs w:val="18"/>
              </w:rPr>
              <w:t>T</w:t>
            </w:r>
            <w:r w:rsidR="00CE0D0A">
              <w:rPr>
                <w:rFonts w:cs="Arial"/>
                <w:b w:val="0"/>
                <w:sz w:val="18"/>
                <w:szCs w:val="18"/>
              </w:rPr>
              <w:t>B</w:t>
            </w:r>
            <w:r w:rsidRPr="00EE4157">
              <w:rPr>
                <w:rFonts w:cs="Arial"/>
                <w:b w:val="0"/>
                <w:sz w:val="18"/>
                <w:szCs w:val="18"/>
              </w:rPr>
              <w:t xml:space="preserve"> el principal, </w:t>
            </w:r>
            <w:r w:rsidR="00EE4157">
              <w:rPr>
                <w:rFonts w:cs="Arial"/>
                <w:b w:val="0"/>
                <w:sz w:val="18"/>
                <w:szCs w:val="18"/>
              </w:rPr>
              <w:t>asumimos para este diagnó</w:t>
            </w:r>
            <w:r w:rsidRPr="00EE4157">
              <w:rPr>
                <w:rFonts w:cs="Arial"/>
                <w:b w:val="0"/>
                <w:sz w:val="18"/>
                <w:szCs w:val="18"/>
              </w:rPr>
              <w:t>stico todos los resultados, con los sesgos consiguientes.</w:t>
            </w:r>
          </w:p>
          <w:p w14:paraId="3BBA5368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9" w14:textId="004A68B2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>- Los dos grupos de D</w:t>
            </w:r>
            <w:r w:rsidR="002874BF">
              <w:rPr>
                <w:rFonts w:cs="Arial"/>
                <w:b w:val="0"/>
                <w:sz w:val="18"/>
                <w:szCs w:val="18"/>
              </w:rPr>
              <w:t>IS</w:t>
            </w:r>
            <w:r w:rsidRPr="00EE4157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874BF">
              <w:rPr>
                <w:rFonts w:cs="Arial"/>
                <w:b w:val="0"/>
                <w:sz w:val="18"/>
                <w:szCs w:val="18"/>
              </w:rPr>
              <w:t>son abiertos</w:t>
            </w:r>
            <w:r w:rsidRPr="00EE4157">
              <w:rPr>
                <w:rFonts w:cs="Arial"/>
                <w:b w:val="0"/>
                <w:sz w:val="18"/>
                <w:szCs w:val="18"/>
              </w:rPr>
              <w:t>, no ciego.</w:t>
            </w:r>
          </w:p>
          <w:p w14:paraId="3BBA536A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B" w14:textId="3B034198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CE0D0A">
              <w:rPr>
                <w:rFonts w:cs="Arial"/>
                <w:b w:val="0"/>
                <w:sz w:val="18"/>
                <w:szCs w:val="18"/>
              </w:rPr>
              <w:t>Es</w:t>
            </w:r>
            <w:r w:rsidRPr="00EE4157">
              <w:rPr>
                <w:rFonts w:cs="Arial"/>
                <w:b w:val="0"/>
                <w:sz w:val="18"/>
                <w:szCs w:val="18"/>
              </w:rPr>
              <w:t xml:space="preserve"> un análisis post hoc de Petrakis et al., Biol Psychiatry 2005. En </w:t>
            </w:r>
            <w:r w:rsidR="00CE0D0A">
              <w:rPr>
                <w:rFonts w:cs="Arial"/>
                <w:b w:val="0"/>
                <w:sz w:val="18"/>
                <w:szCs w:val="18"/>
              </w:rPr>
              <w:t>é</w:t>
            </w:r>
            <w:r w:rsidRPr="00EE4157">
              <w:rPr>
                <w:rFonts w:cs="Arial"/>
                <w:b w:val="0"/>
                <w:sz w:val="18"/>
                <w:szCs w:val="18"/>
              </w:rPr>
              <w:t xml:space="preserve">l artículo se evaluaba la eficacia de las 4 ramas de tratamiento en todos los pacientes con trastornos psiquiátricos. En este artículo se subdivide la muestra en pacientes con trastornos psicóticos y no psicóticos y se comparan los resultados. </w:t>
            </w:r>
          </w:p>
          <w:p w14:paraId="3BBA536C" w14:textId="77777777" w:rsidR="00BD3A25" w:rsidRPr="00EE4157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6F" w14:textId="6D87B308" w:rsidR="00BD3A25" w:rsidRPr="001A6CE3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EE4157">
              <w:rPr>
                <w:rFonts w:cs="Arial"/>
                <w:b w:val="0"/>
                <w:sz w:val="18"/>
                <w:szCs w:val="18"/>
              </w:rPr>
              <w:t xml:space="preserve">- Hay 4 grupos de tratamiento. Al realizar los análisis a pares, se repiten los grupos de cada tratamiento por lo que se produce un sesgo de proporcionar un mayor peso a estas muestras. </w:t>
            </w:r>
          </w:p>
        </w:tc>
      </w:tr>
      <w:tr w:rsidR="00BD3A25" w:rsidRPr="00D711E3" w14:paraId="3BBA53B2" w14:textId="77777777" w:rsidTr="00EF7EFC">
        <w:trPr>
          <w:cantSplit/>
          <w:trHeight w:val="9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72" w14:textId="77777777" w:rsidR="00BD3A25" w:rsidRPr="000713DB" w:rsidRDefault="0068368B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sz w:val="18"/>
                <w:szCs w:val="18"/>
                <w:lang w:val="en-US"/>
              </w:rPr>
              <w:t xml:space="preserve">Salloum 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en-US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7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ECA</w:t>
            </w:r>
          </w:p>
          <w:p w14:paraId="3BBA537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Doble-Ciego</w:t>
            </w:r>
          </w:p>
          <w:p w14:paraId="3BBA537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37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37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7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Hospitalizados (61%) </w:t>
            </w:r>
          </w:p>
          <w:p w14:paraId="3BBA537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y ambulatorios (39%).</w:t>
            </w:r>
          </w:p>
          <w:p w14:paraId="3BBA537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7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Único centro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7E" w14:textId="13656CEB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Dependencia de alcohol</w:t>
            </w:r>
            <w:r w:rsidR="000F7CD3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y un episodio afectivo concurrente de un T</w:t>
            </w:r>
            <w:r w:rsidR="000F7CD3">
              <w:rPr>
                <w:rFonts w:cs="Arial"/>
                <w:b w:val="0"/>
                <w:sz w:val="18"/>
                <w:szCs w:val="18"/>
                <w:lang w:val="da-DK"/>
              </w:rPr>
              <w:t>B</w:t>
            </w: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 xml:space="preserve"> tipo I (maníaco, mixto o depresivo)</w:t>
            </w:r>
          </w:p>
          <w:p w14:paraId="3BBA537F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380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82" w14:textId="77413879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  <w:vertAlign w:val="subscript"/>
                <w:lang w:eastAsia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1. V</w:t>
            </w:r>
            <w:r w:rsidR="000F7CD3">
              <w:rPr>
                <w:rFonts w:cs="Arial"/>
                <w:b w:val="0"/>
                <w:sz w:val="18"/>
                <w:szCs w:val="18"/>
                <w:lang w:val="da-DK"/>
              </w:rPr>
              <w:t>AL</w:t>
            </w: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. 750 mg/día, y se incrementó en función de tolerabilidad hasta niveles de 50-100</w:t>
            </w:r>
            <w:r w:rsidR="000F7CD3">
              <w:rPr>
                <w:rFonts w:cs="Arial"/>
                <w:b w:val="0"/>
                <w:sz w:val="18"/>
                <w:szCs w:val="18"/>
                <w:lang w:val="da-DK"/>
              </w:rPr>
              <w:t xml:space="preserve"> ug/ml</w:t>
            </w:r>
            <w:r w:rsidRPr="000713DB">
              <w:rPr>
                <w:rFonts w:cs="Arial"/>
                <w:b w:val="0"/>
                <w:sz w:val="18"/>
                <w:szCs w:val="18"/>
                <w:vertAlign w:val="subscript"/>
                <w:lang w:val="da-DK"/>
              </w:rPr>
              <w:t xml:space="preserve"> </w:t>
            </w:r>
          </w:p>
          <w:p w14:paraId="3BBA5383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384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2. Placebo</w:t>
            </w:r>
          </w:p>
          <w:p w14:paraId="3BBA5385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cs="Berkeley-Medium"/>
                <w:b w:val="0"/>
                <w:color w:val="292526"/>
                <w:sz w:val="18"/>
                <w:szCs w:val="18"/>
                <w:lang w:val="es-ES"/>
              </w:rPr>
            </w:pPr>
          </w:p>
          <w:p w14:paraId="3BBA5386" w14:textId="18A5A613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2874BF">
              <w:rPr>
                <w:rFonts w:cs="Arial"/>
                <w:b w:val="0"/>
                <w:sz w:val="18"/>
                <w:szCs w:val="18"/>
              </w:rPr>
              <w:t>L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itio en todos los pacientes y posteriormente aleatorizados al tratamiento añadido. </w:t>
            </w:r>
          </w:p>
          <w:p w14:paraId="3BBA538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88" w14:textId="04D05492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0F7CD3">
              <w:rPr>
                <w:rFonts w:cs="Arial"/>
                <w:b w:val="0"/>
                <w:sz w:val="18"/>
                <w:szCs w:val="18"/>
              </w:rPr>
              <w:t>M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edicación de rescate: </w:t>
            </w:r>
          </w:p>
          <w:p w14:paraId="3BBA538C" w14:textId="54F89F12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P</w:t>
            </w:r>
            <w:r w:rsidR="000F7CD3">
              <w:rPr>
                <w:rFonts w:cs="Arial"/>
                <w:b w:val="0"/>
                <w:sz w:val="18"/>
                <w:szCs w:val="18"/>
              </w:rPr>
              <w:t>FZ</w:t>
            </w:r>
            <w:r w:rsidR="002874BF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</w:rPr>
              <w:t>B</w:t>
            </w:r>
            <w:r w:rsidR="000F7CD3">
              <w:rPr>
                <w:rFonts w:cs="Arial"/>
                <w:b w:val="0"/>
                <w:sz w:val="18"/>
                <w:szCs w:val="18"/>
              </w:rPr>
              <w:t>ZT</w:t>
            </w:r>
            <w:r w:rsidRPr="000713DB">
              <w:rPr>
                <w:rFonts w:cs="Arial"/>
                <w:b w:val="0"/>
                <w:sz w:val="18"/>
                <w:szCs w:val="18"/>
              </w:rPr>
              <w:t>.S</w:t>
            </w:r>
            <w:r w:rsidR="000F7CD3">
              <w:rPr>
                <w:rFonts w:cs="Arial"/>
                <w:b w:val="0"/>
                <w:sz w:val="18"/>
                <w:szCs w:val="18"/>
              </w:rPr>
              <w:t>ERT</w:t>
            </w:r>
            <w:r w:rsidR="002874BF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</w:rPr>
              <w:t>T</w:t>
            </w:r>
            <w:r w:rsidR="000F7CD3">
              <w:rPr>
                <w:rFonts w:cs="Arial"/>
                <w:b w:val="0"/>
                <w:sz w:val="18"/>
                <w:szCs w:val="18"/>
              </w:rPr>
              <w:t>RZ</w:t>
            </w:r>
          </w:p>
          <w:p w14:paraId="3BBA538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8E" w14:textId="60B92FA1" w:rsidR="00BD3A25" w:rsidRPr="000F7CD3" w:rsidRDefault="000F7CD3" w:rsidP="000F7CD3">
            <w:pPr>
              <w:pStyle w:val="Prrafodelista"/>
              <w:numPr>
                <w:ilvl w:val="0"/>
                <w:numId w:val="2"/>
              </w:numPr>
              <w:ind w:left="64" w:hanging="64"/>
              <w:rPr>
                <w:rFonts w:cs="Berkeley-Medium"/>
                <w:b w:val="0"/>
                <w:color w:val="292526"/>
                <w:sz w:val="18"/>
                <w:szCs w:val="18"/>
                <w:lang w:val="es-ES"/>
              </w:rPr>
            </w:pPr>
            <w:r>
              <w:rPr>
                <w:rFonts w:cs="Arial"/>
                <w:b w:val="0"/>
                <w:sz w:val="18"/>
                <w:szCs w:val="18"/>
              </w:rPr>
              <w:t>I</w:t>
            </w:r>
            <w:r w:rsidR="00BD3A25" w:rsidRPr="000F7CD3">
              <w:rPr>
                <w:rFonts w:cs="Arial"/>
                <w:b w:val="0"/>
                <w:sz w:val="18"/>
                <w:szCs w:val="18"/>
              </w:rPr>
              <w:t>ntervención psicosocial.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90" w14:textId="77777777" w:rsidR="00BD3A25" w:rsidRPr="000713DB" w:rsidRDefault="00BD3A25" w:rsidP="007B2857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N=59</w:t>
            </w:r>
          </w:p>
          <w:p w14:paraId="3BBA5391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14:paraId="3BBA5392" w14:textId="77777777" w:rsidR="00BD3A25" w:rsidRPr="000713DB" w:rsidRDefault="00BD3A25" w:rsidP="007B2857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Valproato = 29</w:t>
            </w:r>
          </w:p>
          <w:p w14:paraId="3BBA5393" w14:textId="77777777" w:rsidR="00BD3A25" w:rsidRPr="000713DB" w:rsidRDefault="00BD3A25" w:rsidP="007B2857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Placebo =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95" w14:textId="77777777" w:rsidR="00BD3A25" w:rsidRPr="000713DB" w:rsidRDefault="00BD3A25" w:rsidP="007B2857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24 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FEBAF" w14:textId="06C27185" w:rsidR="007B2857" w:rsidRDefault="007B2857" w:rsidP="007B2857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de consumo: Método del Time line follow-back.</w:t>
            </w:r>
          </w:p>
          <w:p w14:paraId="6C89A0C7" w14:textId="77777777" w:rsidR="007B2857" w:rsidRPr="000713DB" w:rsidRDefault="007B2857" w:rsidP="007B2857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9A" w14:textId="76E9EB9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7B2857">
              <w:rPr>
                <w:rFonts w:cs="Arial"/>
                <w:b w:val="0"/>
                <w:sz w:val="18"/>
                <w:szCs w:val="18"/>
              </w:rPr>
              <w:t>P</w:t>
            </w:r>
            <w:r w:rsidRPr="000713DB">
              <w:rPr>
                <w:rFonts w:cs="Arial"/>
                <w:b w:val="0"/>
                <w:sz w:val="18"/>
                <w:szCs w:val="18"/>
              </w:rPr>
              <w:t>roporción de días de consumo elevado de alcohol (</w:t>
            </w:r>
            <w:r w:rsidRPr="000713DB">
              <w:rPr>
                <w:rFonts w:cs="Arial"/>
                <w:b w:val="0"/>
                <w:sz w:val="18"/>
                <w:szCs w:val="18"/>
                <w:u w:val="single"/>
              </w:rPr>
              <w:t>&gt;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4 UBEs para mujeres y </w:t>
            </w:r>
            <w:r w:rsidRPr="000713DB">
              <w:rPr>
                <w:rFonts w:cs="Arial"/>
                <w:b w:val="0"/>
                <w:sz w:val="18"/>
                <w:szCs w:val="18"/>
                <w:u w:val="single"/>
              </w:rPr>
              <w:t>&gt;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5 UBEs para varones).</w:t>
            </w:r>
          </w:p>
          <w:p w14:paraId="3BBA539C" w14:textId="080018C2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El número de UBEs por cada día de consumo elevado.</w:t>
            </w:r>
          </w:p>
          <w:p w14:paraId="3BBA539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Proporción de días con consumo de alcohol.</w:t>
            </w:r>
          </w:p>
          <w:p w14:paraId="3BBA539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Número de UBEs por cada día de consumo de alcohol.</w:t>
            </w:r>
          </w:p>
          <w:p w14:paraId="3BBA53A0" w14:textId="4D1BE274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Tiempo hasta la recaída en consumo elevado continuado.</w:t>
            </w:r>
          </w:p>
          <w:p w14:paraId="3BBA53A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A2" w14:textId="34760E38" w:rsidR="00BD3A25" w:rsidRPr="000713DB" w:rsidRDefault="007B2857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V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 xml:space="preserve">ariables </w:t>
            </w:r>
            <w:r w:rsidR="002874BF">
              <w:rPr>
                <w:rFonts w:cs="Arial"/>
                <w:b w:val="0"/>
                <w:sz w:val="18"/>
                <w:szCs w:val="18"/>
              </w:rPr>
              <w:t>clínicas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3BBA53A5" w14:textId="49E37924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Remisión de la mania (</w:t>
            </w:r>
            <w:r w:rsidRPr="000713DB">
              <w:rPr>
                <w:rFonts w:cs="Arial"/>
                <w:b w:val="0"/>
                <w:sz w:val="18"/>
                <w:szCs w:val="18"/>
                <w:u w:val="single"/>
              </w:rPr>
              <w:t>&lt;</w:t>
            </w:r>
            <w:r w:rsidRPr="000713DB">
              <w:rPr>
                <w:rFonts w:cs="Arial"/>
                <w:b w:val="0"/>
                <w:sz w:val="18"/>
                <w:szCs w:val="18"/>
              </w:rPr>
              <w:t>7 en BMRS</w:t>
            </w:r>
          </w:p>
          <w:p w14:paraId="3BBA53A6" w14:textId="3BC27B0D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Remisión de la depresión (</w:t>
            </w:r>
            <w:r w:rsidR="00CE0D0A" w:rsidRPr="000713DB">
              <w:rPr>
                <w:rFonts w:cs="Arial"/>
                <w:b w:val="0"/>
                <w:sz w:val="18"/>
                <w:szCs w:val="18"/>
                <w:u w:val="single"/>
              </w:rPr>
              <w:t>&lt;</w:t>
            </w:r>
            <w:r w:rsidRPr="00CE0D0A">
              <w:rPr>
                <w:rFonts w:cs="Arial"/>
                <w:b w:val="0"/>
                <w:sz w:val="18"/>
                <w:szCs w:val="18"/>
              </w:rPr>
              <w:t>7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en HRSD-25). </w:t>
            </w:r>
          </w:p>
          <w:p w14:paraId="3BBA53A7" w14:textId="1CF18C65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 - Niveles de </w:t>
            </w:r>
            <w:r w:rsidR="007B2857">
              <w:rPr>
                <w:rFonts w:cs="Arial"/>
                <w:b w:val="0"/>
                <w:sz w:val="18"/>
                <w:szCs w:val="18"/>
              </w:rPr>
              <w:t>GGT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y transaminasas.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A9" w14:textId="36E6F721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7B2857">
              <w:rPr>
                <w:rFonts w:cs="Arial"/>
                <w:b w:val="0"/>
                <w:sz w:val="18"/>
                <w:szCs w:val="18"/>
              </w:rPr>
              <w:t>M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ejorías en algunas de las variables de consumo en el grupo de </w:t>
            </w:r>
            <w:r w:rsidR="007B2857">
              <w:rPr>
                <w:rFonts w:cs="Arial"/>
                <w:b w:val="0"/>
                <w:sz w:val="18"/>
                <w:szCs w:val="18"/>
              </w:rPr>
              <w:t>VAL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2857">
              <w:rPr>
                <w:rFonts w:cs="Arial"/>
                <w:b w:val="0"/>
                <w:sz w:val="18"/>
                <w:szCs w:val="18"/>
              </w:rPr>
              <w:t>sin mejora en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las variables de estado de ánimo</w:t>
            </w:r>
          </w:p>
          <w:p w14:paraId="3BBA53A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A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Tamaño muestral reducido.</w:t>
            </w:r>
          </w:p>
          <w:p w14:paraId="3BBA53A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A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Heterogeneidad de los pacientes al presentarse con diferentes tipos de episodio, pero el tamaño muestral es demasiado pequeño como para permitir subanálisis en función del tipo de episodio. </w:t>
            </w:r>
          </w:p>
          <w:p w14:paraId="3BBA53A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AF" w14:textId="1C206FBF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Tasa de abandonos importante</w:t>
            </w:r>
            <w:r w:rsidR="007B2857">
              <w:rPr>
                <w:rFonts w:cs="Arial"/>
                <w:b w:val="0"/>
                <w:sz w:val="18"/>
                <w:szCs w:val="18"/>
              </w:rPr>
              <w:t xml:space="preserve">: 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62%. Solo 20 sujetos completaron el estudio, 12 (44%) del grupo </w:t>
            </w:r>
            <w:r w:rsidR="007B2857">
              <w:rPr>
                <w:rFonts w:cs="Arial"/>
                <w:b w:val="0"/>
                <w:sz w:val="18"/>
                <w:szCs w:val="18"/>
              </w:rPr>
              <w:t>VAL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y 8 (32%) del grupo de placebo.</w:t>
            </w:r>
          </w:p>
          <w:p w14:paraId="3BBA53B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B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BD3A25" w:rsidRPr="00D711E3" w14:paraId="3BBA53F4" w14:textId="77777777" w:rsidTr="00EF7EFC">
        <w:trPr>
          <w:cantSplit/>
          <w:trHeight w:val="12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B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lastRenderedPageBreak/>
              <w:t xml:space="preserve">Sherwood Brown </w:t>
            </w:r>
          </w:p>
          <w:p w14:paraId="3BBA53B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B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ECA</w:t>
            </w:r>
          </w:p>
          <w:p w14:paraId="3BBA53B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Doble-Ciego</w:t>
            </w:r>
          </w:p>
          <w:p w14:paraId="3BBA53B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Grupos paralelos</w:t>
            </w:r>
          </w:p>
          <w:p w14:paraId="3BBA53B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Tratamiento añadido</w:t>
            </w:r>
          </w:p>
          <w:p w14:paraId="3BBA53B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Ambulatorio</w:t>
            </w:r>
          </w:p>
          <w:p w14:paraId="3BBA53B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BD" w14:textId="01ACD946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Único centro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BF" w14:textId="2699F861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 w:rsidR="002F2674"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</w:p>
          <w:p w14:paraId="3BBA53C1" w14:textId="5DEBCE53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 xml:space="preserve">- tipo I (50/102)  </w:t>
            </w:r>
          </w:p>
          <w:p w14:paraId="3BBA53C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- tipo II (52/102)</w:t>
            </w:r>
          </w:p>
          <w:p w14:paraId="3BBA53C3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it-IT"/>
              </w:rPr>
            </w:pPr>
          </w:p>
          <w:p w14:paraId="3BBA53C4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Y</w:t>
            </w:r>
          </w:p>
          <w:p w14:paraId="3BBA53C5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14:paraId="3BBA53C7" w14:textId="627DB4D6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abuso (3/102)</w:t>
            </w:r>
          </w:p>
          <w:p w14:paraId="3BBA53C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dependencia (99/102) </w:t>
            </w:r>
          </w:p>
          <w:p w14:paraId="3BBA53CA" w14:textId="559771B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de alcohol,</w:t>
            </w:r>
            <w:r w:rsidR="0003599C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0713DB">
              <w:rPr>
                <w:rFonts w:cs="Arial"/>
                <w:b w:val="0"/>
                <w:sz w:val="18"/>
                <w:szCs w:val="18"/>
              </w:rPr>
              <w:t>con consumo en los 14 días previos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CC" w14:textId="3EE091EB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1. Q</w:t>
            </w:r>
            <w:r w:rsidR="002F2674">
              <w:rPr>
                <w:rFonts w:cs="Arial"/>
                <w:b w:val="0"/>
                <w:sz w:val="18"/>
                <w:szCs w:val="18"/>
              </w:rPr>
              <w:t>UET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hasta 600 mg/día</w:t>
            </w:r>
          </w:p>
          <w:p w14:paraId="3BBA53C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2. Placebo</w:t>
            </w:r>
          </w:p>
          <w:p w14:paraId="3BBA53C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CF" w14:textId="7F4044EA" w:rsidR="00BD3A25" w:rsidRPr="000713DB" w:rsidRDefault="002F2674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>
              <w:rPr>
                <w:rFonts w:cs="Arial"/>
                <w:b w:val="0"/>
                <w:sz w:val="18"/>
                <w:szCs w:val="18"/>
              </w:rPr>
              <w:t>E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l 50% de </w:t>
            </w:r>
            <w:r>
              <w:rPr>
                <w:rFonts w:cs="Arial"/>
                <w:b w:val="0"/>
                <w:sz w:val="18"/>
                <w:szCs w:val="18"/>
                <w:lang w:val="pt-PT"/>
              </w:rPr>
              <w:t>QUET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y el 68% de placebo no tomaban ninguna medicación concomitante.</w:t>
            </w:r>
          </w:p>
          <w:p w14:paraId="3BBA53D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Entre los que sí:</w:t>
            </w:r>
          </w:p>
          <w:p w14:paraId="3BBA53D1" w14:textId="6280550D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Litio 13,5% y 4% respect</w:t>
            </w:r>
            <w:r w:rsidR="00354C63">
              <w:rPr>
                <w:rFonts w:cs="Arial"/>
                <w:b w:val="0"/>
                <w:sz w:val="18"/>
                <w:szCs w:val="18"/>
                <w:lang w:val="pt-PT"/>
              </w:rPr>
              <w:t>ivamente</w:t>
            </w:r>
          </w:p>
          <w:p w14:paraId="3BBA53D2" w14:textId="1C89FE4A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A</w:t>
            </w:r>
            <w:r w:rsidR="00354C63">
              <w:rPr>
                <w:rFonts w:cs="Arial"/>
                <w:b w:val="0"/>
                <w:sz w:val="18"/>
                <w:szCs w:val="18"/>
                <w:lang w:val="pt-PT"/>
              </w:rPr>
              <w:t>COM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25% y 18%</w:t>
            </w:r>
          </w:p>
          <w:p w14:paraId="3BBA53D3" w14:textId="03B2A9B6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A</w:t>
            </w:r>
            <w:r w:rsidR="00354C63">
              <w:rPr>
                <w:rFonts w:cs="Arial"/>
                <w:b w:val="0"/>
                <w:sz w:val="18"/>
                <w:szCs w:val="18"/>
                <w:lang w:val="pt-PT"/>
              </w:rPr>
              <w:t>D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38,5% y 28% </w:t>
            </w:r>
          </w:p>
          <w:p w14:paraId="3BBA53D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D5" w14:textId="1B6C566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No se menciona ning</w:t>
            </w:r>
            <w:r w:rsidR="00CE0D0A">
              <w:rPr>
                <w:rFonts w:cs="Arial"/>
                <w:b w:val="0"/>
                <w:sz w:val="18"/>
                <w:szCs w:val="18"/>
                <w:lang w:val="pt-PT"/>
              </w:rPr>
              <w:t>una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psicoterapia o tratamiento psicosocial concomitante.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D7" w14:textId="0283EEA4" w:rsidR="00BD3A25" w:rsidRDefault="00BD3A25" w:rsidP="00354C63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N=102</w:t>
            </w:r>
          </w:p>
          <w:p w14:paraId="1A66BBB5" w14:textId="77777777" w:rsidR="00354C63" w:rsidRPr="000713DB" w:rsidRDefault="00354C63" w:rsidP="00354C63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D8" w14:textId="486E3F97" w:rsidR="00BD3A25" w:rsidRPr="000713DB" w:rsidRDefault="00BD3A25" w:rsidP="00354C63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Q</w:t>
            </w:r>
            <w:r w:rsidR="00354C63">
              <w:rPr>
                <w:rFonts w:cs="Arial"/>
                <w:b w:val="0"/>
                <w:sz w:val="18"/>
                <w:szCs w:val="18"/>
                <w:lang w:val="pt-PT"/>
              </w:rPr>
              <w:t>UET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=52</w:t>
            </w:r>
          </w:p>
          <w:p w14:paraId="3BBA53D9" w14:textId="77777777" w:rsidR="00BD3A25" w:rsidRPr="000713DB" w:rsidRDefault="00BD3A25" w:rsidP="00354C63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Placebo=50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DA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12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D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de consumo: Método del Time line follow-back.</w:t>
            </w:r>
          </w:p>
          <w:p w14:paraId="3BBA53D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DE" w14:textId="117037AA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i/>
                <w:sz w:val="18"/>
                <w:szCs w:val="18"/>
                <w:lang w:val="pt-PT"/>
              </w:rPr>
              <w:t>Craving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: PACS </w:t>
            </w:r>
          </w:p>
          <w:p w14:paraId="3BBA53D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E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afectivas:</w:t>
            </w:r>
          </w:p>
          <w:p w14:paraId="3BBA53E2" w14:textId="13E0E74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HAM-D</w:t>
            </w:r>
            <w:r w:rsidR="00EF7EFC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YMR</w:t>
            </w:r>
            <w:r w:rsidR="00354C63">
              <w:rPr>
                <w:rFonts w:cs="Arial"/>
                <w:b w:val="0"/>
                <w:sz w:val="18"/>
                <w:szCs w:val="18"/>
                <w:lang w:val="pt-PT"/>
              </w:rPr>
              <w:t>S</w:t>
            </w:r>
          </w:p>
          <w:p w14:paraId="3BBA53E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3E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Efectos adversos de antipsicóticos:</w:t>
            </w:r>
          </w:p>
          <w:p w14:paraId="3BBA53E7" w14:textId="03471F90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AIMS</w:t>
            </w:r>
            <w:r w:rsidR="00EF7EFC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SAS</w:t>
            </w:r>
            <w:r w:rsidR="00EF7EFC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BAS</w:t>
            </w:r>
          </w:p>
          <w:p w14:paraId="3BBA53E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3EA" w14:textId="3B65D25A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No se observaron diferencias en el consumo. Solo mejoría en los síntomas depresivos.</w:t>
            </w:r>
          </w:p>
          <w:p w14:paraId="3BBA53E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E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Cierta heterogeneidad de la muestra con una mayoría de pacientes (aprox. 80%) en episodio depresivo, alrededor de un 10% en eutimia, y algo menos de un 10% en episodio maníaco o mixto. Esto podría explicar que mejoren las variables de depresión y no las de síntomas maníacos.</w:t>
            </w:r>
          </w:p>
          <w:p w14:paraId="3BBA53E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EE" w14:textId="1B18F7B2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Se describe con detalle el procedimiento para la titulación lenta. Sin embargo, ningún dato de la dosis final real, de la dosis media, de los abandonos</w:t>
            </w:r>
          </w:p>
          <w:p w14:paraId="3BBA53E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F0" w14:textId="0B8CB6CB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354C63">
              <w:rPr>
                <w:rFonts w:cs="Arial"/>
                <w:b w:val="0"/>
                <w:sz w:val="18"/>
                <w:szCs w:val="18"/>
              </w:rPr>
              <w:t>A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nálisis estadístico </w:t>
            </w:r>
            <w:r w:rsidR="00354C63">
              <w:rPr>
                <w:rFonts w:cs="Arial"/>
                <w:b w:val="0"/>
                <w:sz w:val="18"/>
                <w:szCs w:val="18"/>
              </w:rPr>
              <w:t xml:space="preserve">complejo </w:t>
            </w:r>
            <w:r w:rsidRPr="000713DB">
              <w:rPr>
                <w:rFonts w:cs="Arial"/>
                <w:b w:val="0"/>
                <w:sz w:val="18"/>
                <w:szCs w:val="18"/>
              </w:rPr>
              <w:t>“random regression analysis”.</w:t>
            </w:r>
          </w:p>
          <w:p w14:paraId="3BBA53F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F2" w14:textId="7EF019C0" w:rsidR="00BD3A25" w:rsidRPr="000713DB" w:rsidRDefault="00EE4157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E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 xml:space="preserve">l 50% de los de </w:t>
            </w:r>
            <w:r w:rsidR="000F7CD3">
              <w:rPr>
                <w:rFonts w:cs="Arial"/>
                <w:b w:val="0"/>
                <w:sz w:val="18"/>
                <w:szCs w:val="18"/>
              </w:rPr>
              <w:t>QUET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 xml:space="preserve"> y el 68% de los de placebo no tomaban ninguna medicación concomitante.</w:t>
            </w:r>
          </w:p>
          <w:p w14:paraId="3BBA53F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BD3A25" w:rsidRPr="00D711E3" w14:paraId="3BBA543E" w14:textId="77777777" w:rsidTr="00EF7EFC">
        <w:trPr>
          <w:cantSplit/>
          <w:trHeight w:val="1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53F5" w14:textId="77777777" w:rsidR="00BD3A25" w:rsidRPr="000713DB" w:rsidRDefault="0068368B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sz w:val="18"/>
                <w:szCs w:val="18"/>
                <w:lang w:val="en-US"/>
              </w:rPr>
              <w:t xml:space="preserve">Sherwood Brown </w:t>
            </w:r>
            <w:r w:rsidR="00EE4157" w:rsidRPr="000713DB">
              <w:rPr>
                <w:rFonts w:cs="Arial"/>
                <w:b w:val="0"/>
                <w:sz w:val="18"/>
                <w:szCs w:val="18"/>
                <w:lang w:val="en-US"/>
              </w:rPr>
              <w:t>2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en-US"/>
              </w:rPr>
              <w:t>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53F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3F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3F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3F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3F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3F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3F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Único centro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53FD" w14:textId="34053BE5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 w:rsidR="00BE239D"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</w:p>
          <w:p w14:paraId="3BBA53FF" w14:textId="2C1D72C4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 xml:space="preserve">- tipo  I (31/43) </w:t>
            </w:r>
          </w:p>
          <w:p w14:paraId="3BBA540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- tipo II (12/43),</w:t>
            </w:r>
          </w:p>
          <w:p w14:paraId="3BBA5401" w14:textId="382EE24E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 depr</w:t>
            </w:r>
            <w:r w:rsidR="002874BF">
              <w:rPr>
                <w:rFonts w:cs="Arial"/>
                <w:b w:val="0"/>
                <w:sz w:val="18"/>
                <w:szCs w:val="18"/>
              </w:rPr>
              <w:t>esivo/</w:t>
            </w:r>
            <w:r w:rsidRPr="000713DB">
              <w:rPr>
                <w:rFonts w:cs="Arial"/>
                <w:b w:val="0"/>
                <w:sz w:val="18"/>
                <w:szCs w:val="18"/>
              </w:rPr>
              <w:t>mixto</w:t>
            </w:r>
          </w:p>
          <w:p w14:paraId="3BBA540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03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Y</w:t>
            </w:r>
          </w:p>
          <w:p w14:paraId="3BBA5404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14:paraId="3BBA5405" w14:textId="36EABD7E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Dependencia de alcohol,</w:t>
            </w:r>
          </w:p>
          <w:p w14:paraId="3BBA5406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con consumo de al menos 5 bebidas en los 7 días previos</w:t>
            </w:r>
          </w:p>
          <w:p w14:paraId="3BBA540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5408" w14:textId="141EE7B6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1. N</w:t>
            </w:r>
            <w:r w:rsidR="00BE239D">
              <w:rPr>
                <w:rFonts w:cs="Arial"/>
                <w:b w:val="0"/>
                <w:sz w:val="18"/>
                <w:szCs w:val="18"/>
              </w:rPr>
              <w:t>TX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50 mg/día</w:t>
            </w:r>
          </w:p>
          <w:p w14:paraId="3BBA5409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2. Placebo</w:t>
            </w:r>
          </w:p>
          <w:p w14:paraId="3BBA540A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</w:p>
          <w:p w14:paraId="3BBA540B" w14:textId="2E6616B1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de base para el T</w:t>
            </w:r>
            <w:r w:rsidR="00BE239D">
              <w:rPr>
                <w:rFonts w:cs="Arial"/>
                <w:b w:val="0"/>
                <w:sz w:val="18"/>
                <w:szCs w:val="18"/>
              </w:rPr>
              <w:t>B</w:t>
            </w:r>
            <w:r w:rsidRPr="000713DB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3BBA540C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- Litio: 9,3%</w:t>
            </w:r>
          </w:p>
          <w:p w14:paraId="3BBA540D" w14:textId="521BFC13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- A</w:t>
            </w:r>
            <w:r w:rsidR="001F1F3D">
              <w:rPr>
                <w:rFonts w:cs="Arial"/>
                <w:b w:val="0"/>
                <w:sz w:val="18"/>
                <w:szCs w:val="18"/>
                <w:lang w:val="es-ES"/>
              </w:rPr>
              <w:t>COM</w:t>
            </w: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: 18,6%</w:t>
            </w:r>
          </w:p>
          <w:p w14:paraId="3BBA540E" w14:textId="24B51E36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- V</w:t>
            </w:r>
            <w:r w:rsidR="001F1F3D">
              <w:rPr>
                <w:rFonts w:cs="Arial"/>
                <w:b w:val="0"/>
                <w:sz w:val="18"/>
                <w:szCs w:val="18"/>
                <w:lang w:val="es-ES"/>
              </w:rPr>
              <w:t>AL</w:t>
            </w: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: 11,6%</w:t>
            </w:r>
          </w:p>
          <w:p w14:paraId="3BBA540F" w14:textId="0A53B51F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- L</w:t>
            </w:r>
            <w:r w:rsidR="001F1F3D">
              <w:rPr>
                <w:rFonts w:cs="Arial"/>
                <w:b w:val="0"/>
                <w:sz w:val="18"/>
                <w:szCs w:val="18"/>
                <w:lang w:val="es-ES"/>
              </w:rPr>
              <w:t>AM</w:t>
            </w:r>
            <w:r w:rsidRPr="000713DB">
              <w:rPr>
                <w:rFonts w:cs="Arial"/>
                <w:b w:val="0"/>
                <w:sz w:val="18"/>
                <w:szCs w:val="18"/>
                <w:lang w:val="es-ES"/>
              </w:rPr>
              <w:t>: 4,7%</w:t>
            </w:r>
          </w:p>
          <w:p w14:paraId="3BBA5410" w14:textId="3D4D67C8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O</w:t>
            </w:r>
            <w:r w:rsidR="001F1F3D">
              <w:rPr>
                <w:rFonts w:cs="Arial"/>
                <w:b w:val="0"/>
                <w:sz w:val="18"/>
                <w:szCs w:val="18"/>
              </w:rPr>
              <w:t>XC</w:t>
            </w:r>
            <w:r w:rsidRPr="000713DB">
              <w:rPr>
                <w:rFonts w:cs="Arial"/>
                <w:b w:val="0"/>
                <w:sz w:val="18"/>
                <w:szCs w:val="18"/>
              </w:rPr>
              <w:t>: 2,3%</w:t>
            </w:r>
          </w:p>
          <w:p w14:paraId="3BBA5411" w14:textId="2CBE9E5B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</w:t>
            </w:r>
            <w:r w:rsidR="001F1F3D">
              <w:rPr>
                <w:rFonts w:cs="Arial"/>
                <w:b w:val="0"/>
                <w:sz w:val="18"/>
                <w:szCs w:val="18"/>
              </w:rPr>
              <w:t>P</w:t>
            </w:r>
            <w:r w:rsidRPr="000713DB">
              <w:rPr>
                <w:rFonts w:cs="Arial"/>
                <w:b w:val="0"/>
                <w:sz w:val="18"/>
                <w:szCs w:val="18"/>
              </w:rPr>
              <w:t>: 11,6%</w:t>
            </w:r>
          </w:p>
          <w:p w14:paraId="3BBA5412" w14:textId="13ABF228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</w:t>
            </w:r>
            <w:r w:rsidR="001F1F3D">
              <w:rPr>
                <w:rFonts w:cs="Arial"/>
                <w:b w:val="0"/>
                <w:sz w:val="18"/>
                <w:szCs w:val="18"/>
              </w:rPr>
              <w:t>D</w:t>
            </w:r>
            <w:r w:rsidRPr="000713DB">
              <w:rPr>
                <w:rFonts w:cs="Arial"/>
                <w:b w:val="0"/>
                <w:sz w:val="18"/>
                <w:szCs w:val="18"/>
              </w:rPr>
              <w:t>: 37,2%</w:t>
            </w:r>
          </w:p>
          <w:p w14:paraId="3BBA5413" w14:textId="27CDD2B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-Sedantes/hipnóticos: 16,3%</w:t>
            </w:r>
          </w:p>
          <w:p w14:paraId="3BBA5414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</w:p>
          <w:p w14:paraId="3BBA5415" w14:textId="7DDE3910" w:rsidR="00BD3A25" w:rsidRPr="000713DB" w:rsidRDefault="00EF7EFC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M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edicación concomitante</w:t>
            </w:r>
            <w:r w:rsidR="00CE0D0A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s</w:t>
            </w:r>
            <w:r>
              <w:rPr>
                <w:rFonts w:cs="Arial"/>
                <w:b w:val="0"/>
                <w:sz w:val="18"/>
                <w:szCs w:val="18"/>
              </w:rPr>
              <w:t>egún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 xml:space="preserve"> algoritmo de Texas.</w:t>
            </w:r>
          </w:p>
          <w:p w14:paraId="3BBA5416" w14:textId="77777777" w:rsidR="00BD3A25" w:rsidRPr="000713DB" w:rsidRDefault="00BD3A25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</w:p>
          <w:p w14:paraId="3BBA5417" w14:textId="4B7D2B1B" w:rsidR="00BD3A25" w:rsidRPr="000713DB" w:rsidRDefault="001F1F3D" w:rsidP="00781CA2">
            <w:pPr>
              <w:ind w:left="31" w:hanging="31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16 sesiones 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TCC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19" w14:textId="722EF3BD" w:rsidR="00BD3A25" w:rsidRDefault="00BD3A25" w:rsidP="00BE239D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N=43</w:t>
            </w:r>
          </w:p>
          <w:p w14:paraId="0E49961F" w14:textId="77777777" w:rsidR="00BE239D" w:rsidRPr="000713DB" w:rsidRDefault="00BE239D" w:rsidP="00BE239D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1A" w14:textId="292F18D3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N</w:t>
            </w:r>
            <w:r w:rsidR="00BE239D">
              <w:rPr>
                <w:rFonts w:cs="Arial"/>
                <w:b w:val="0"/>
                <w:sz w:val="18"/>
                <w:szCs w:val="18"/>
              </w:rPr>
              <w:t>TX</w:t>
            </w:r>
            <w:r w:rsidRPr="000713DB">
              <w:rPr>
                <w:rFonts w:cs="Arial"/>
                <w:b w:val="0"/>
                <w:sz w:val="18"/>
                <w:szCs w:val="18"/>
              </w:rPr>
              <w:t>=20</w:t>
            </w:r>
          </w:p>
          <w:p w14:paraId="3BBA541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Placebo=23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3BBA541C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12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3BBA541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MINI</w:t>
            </w:r>
          </w:p>
          <w:p w14:paraId="3BBA541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2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de consumo: Método del Time line follow-back.</w:t>
            </w:r>
          </w:p>
          <w:p w14:paraId="3BBA542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2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Se utilizan:</w:t>
            </w:r>
          </w:p>
          <w:p w14:paraId="3BBA542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Días de consumo</w:t>
            </w:r>
          </w:p>
          <w:p w14:paraId="3BBA5425" w14:textId="4D3A278E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Días de consumo elevado</w:t>
            </w:r>
          </w:p>
          <w:p w14:paraId="3BBA542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- </w:t>
            </w:r>
            <w:r w:rsidRPr="000713DB">
              <w:rPr>
                <w:rFonts w:cs="Arial"/>
                <w:b w:val="0"/>
                <w:sz w:val="18"/>
                <w:szCs w:val="18"/>
                <w:lang w:val="en-US"/>
              </w:rPr>
              <w:t>Addiction Severity Index</w:t>
            </w:r>
          </w:p>
          <w:p w14:paraId="3BBA542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Enzimas hepáticas</w:t>
            </w:r>
          </w:p>
          <w:p w14:paraId="3BBA5428" w14:textId="67957CC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- </w:t>
            </w:r>
            <w:r w:rsidRPr="000713DB">
              <w:rPr>
                <w:rFonts w:cs="Arial"/>
                <w:b w:val="0"/>
                <w:sz w:val="18"/>
                <w:szCs w:val="18"/>
                <w:lang w:val="en-US"/>
              </w:rPr>
              <w:t>PACS</w:t>
            </w:r>
          </w:p>
          <w:p w14:paraId="3BBA542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  <w:p w14:paraId="3BBA542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afectivas:</w:t>
            </w:r>
          </w:p>
          <w:p w14:paraId="3BBA5436" w14:textId="2055ADE1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en-US"/>
              </w:rPr>
              <w:t>- IDS</w:t>
            </w:r>
            <w:r w:rsidR="0003599C">
              <w:rPr>
                <w:rFonts w:cs="Arial"/>
                <w:b w:val="0"/>
                <w:sz w:val="18"/>
                <w:szCs w:val="18"/>
                <w:lang w:val="en-US"/>
              </w:rPr>
              <w:t>-</w:t>
            </w:r>
            <w:r w:rsidRPr="000713DB">
              <w:rPr>
                <w:rFonts w:cs="Arial"/>
                <w:b w:val="0"/>
                <w:sz w:val="18"/>
                <w:szCs w:val="18"/>
                <w:lang w:val="en-US"/>
              </w:rPr>
              <w:t>SR30</w:t>
            </w:r>
            <w:r w:rsidR="00EF7EFC">
              <w:rPr>
                <w:rFonts w:cs="Arial"/>
                <w:b w:val="0"/>
                <w:sz w:val="18"/>
                <w:szCs w:val="18"/>
                <w:lang w:val="en-US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HAM-D</w:t>
            </w:r>
            <w:r w:rsidR="00EF7EFC">
              <w:rPr>
                <w:rFonts w:cs="Arial"/>
                <w:b w:val="0"/>
                <w:sz w:val="18"/>
                <w:szCs w:val="18"/>
                <w:lang w:val="en-US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YMRS</w:t>
            </w:r>
            <w:r w:rsidR="00EF7EFC">
              <w:rPr>
                <w:rFonts w:cs="Arial"/>
                <w:b w:val="0"/>
                <w:sz w:val="18"/>
                <w:szCs w:val="18"/>
                <w:lang w:val="en-US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en-US"/>
              </w:rPr>
              <w:t>PRD-III</w:t>
            </w:r>
          </w:p>
          <w:p w14:paraId="3BBA543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1" w:type="dxa"/>
            </w:tcMar>
          </w:tcPr>
          <w:p w14:paraId="3BBA543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Tamaño muestral pequeño que ha podido influir en los resultados en los que detectan una tendencia a favor del tratamiento pero sin significación estadística (</w:t>
            </w:r>
            <w:r w:rsidRPr="000713DB">
              <w:rPr>
                <w:rFonts w:cs="Arial"/>
                <w:b w:val="0"/>
                <w:i/>
                <w:sz w:val="18"/>
                <w:szCs w:val="18"/>
              </w:rPr>
              <w:t>p</w:t>
            </w:r>
            <w:r w:rsidRPr="000713DB">
              <w:rPr>
                <w:rFonts w:cs="Arial"/>
                <w:b w:val="0"/>
                <w:sz w:val="18"/>
                <w:szCs w:val="18"/>
              </w:rPr>
              <w:t>=0,10).</w:t>
            </w:r>
          </w:p>
          <w:p w14:paraId="3BBA543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3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Un único centro.</w:t>
            </w:r>
          </w:p>
          <w:p w14:paraId="3BBA543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3D" w14:textId="424C3C29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</w:t>
            </w:r>
            <w:r w:rsidR="002F2674">
              <w:rPr>
                <w:rFonts w:cs="Arial"/>
                <w:b w:val="0"/>
                <w:sz w:val="18"/>
                <w:szCs w:val="18"/>
              </w:rPr>
              <w:t>A</w:t>
            </w:r>
            <w:r w:rsidRPr="000713DB">
              <w:rPr>
                <w:rFonts w:cs="Arial"/>
                <w:b w:val="0"/>
                <w:sz w:val="18"/>
                <w:szCs w:val="18"/>
              </w:rPr>
              <w:t>nálisis estadístico complejo</w:t>
            </w:r>
            <w:r w:rsidR="002F2674">
              <w:rPr>
                <w:rFonts w:cs="Arial"/>
                <w:b w:val="0"/>
                <w:sz w:val="18"/>
                <w:szCs w:val="18"/>
              </w:rPr>
              <w:t>: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“random regression analysis”. </w:t>
            </w:r>
          </w:p>
        </w:tc>
      </w:tr>
      <w:tr w:rsidR="00BD3A25" w:rsidRPr="00D711E3" w14:paraId="3BBA5483" w14:textId="77777777" w:rsidTr="00EF7EFC">
        <w:trPr>
          <w:cantSplit/>
          <w:trHeight w:val="119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3F" w14:textId="77777777" w:rsidR="00BD3A25" w:rsidRPr="000713DB" w:rsidRDefault="0068368B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lastRenderedPageBreak/>
              <w:t xml:space="preserve">Stedman 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4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44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44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44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44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Ambulatorio.</w:t>
            </w:r>
          </w:p>
          <w:p w14:paraId="3BBA544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4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4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Multicéntrico</w:t>
            </w:r>
          </w:p>
          <w:p w14:paraId="3BBA544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 (43 centros USA)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4A" w14:textId="0968F62F" w:rsidR="00BD3A25" w:rsidRPr="000713DB" w:rsidRDefault="00BE239D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>TB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da-DK"/>
              </w:rPr>
              <w:t xml:space="preserve"> tipo I (episodio actual maníaco, hipomaníaco, depresivo o mixto) </w:t>
            </w:r>
          </w:p>
          <w:p w14:paraId="3BBA544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44C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44D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44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Dependencia de alcohol</w:t>
            </w:r>
          </w:p>
          <w:p w14:paraId="3BBA544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con historia reciente de consumo elevado definida como un mínimo de 4 UBEs/día para mujeres o 5 UBEs/día para varones en al menos 10 de los 28 días previos a la inclusión</w:t>
            </w:r>
          </w:p>
          <w:p w14:paraId="3BBA545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51" w14:textId="4C117C68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1. Q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UET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300-800 mg/día</w:t>
            </w:r>
          </w:p>
          <w:p w14:paraId="3BBA545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2. Placebo </w:t>
            </w:r>
          </w:p>
          <w:p w14:paraId="3BBA545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54" w14:textId="76EEE096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Tratamientos concomitantes</w:t>
            </w:r>
            <w:r w:rsidR="002F2674">
              <w:rPr>
                <w:rFonts w:cs="Arial"/>
                <w:b w:val="0"/>
                <w:sz w:val="18"/>
                <w:szCs w:val="18"/>
                <w:lang w:val="pt-PT"/>
              </w:rPr>
              <w:t>: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</w:t>
            </w:r>
          </w:p>
          <w:p w14:paraId="3BBA5455" w14:textId="76432554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T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RZ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50 mg/día</w:t>
            </w:r>
          </w:p>
          <w:p w14:paraId="3BBA5456" w14:textId="39870240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A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C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</w:t>
            </w:r>
          </w:p>
          <w:p w14:paraId="3BBA5457" w14:textId="325FB815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P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AR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hasta 25 mg/día</w:t>
            </w:r>
          </w:p>
          <w:p w14:paraId="3BBA5458" w14:textId="3E9229F8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H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AL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.</w:t>
            </w:r>
          </w:p>
          <w:p w14:paraId="3BBA545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5A" w14:textId="6DE87641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Todos los pacientes tratados con litio o </w:t>
            </w:r>
            <w:r w:rsidR="002F2674">
              <w:rPr>
                <w:rFonts w:cs="Arial"/>
                <w:b w:val="0"/>
                <w:sz w:val="18"/>
                <w:szCs w:val="18"/>
                <w:lang w:val="pt-PT"/>
              </w:rPr>
              <w:t>VAL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, y en niveles terapéuticos, desde la fase de </w:t>
            </w:r>
            <w:r w:rsidRPr="000713DB">
              <w:rPr>
                <w:rFonts w:cs="Arial"/>
                <w:b w:val="0"/>
                <w:i/>
                <w:sz w:val="18"/>
                <w:szCs w:val="18"/>
                <w:lang w:val="pt-PT"/>
              </w:rPr>
              <w:t xml:space="preserve">screening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previa a la aleatorización.</w:t>
            </w:r>
          </w:p>
          <w:p w14:paraId="3BBA545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5D" w14:textId="749BC1AD" w:rsidR="00BD3A25" w:rsidRDefault="00BD3A25" w:rsidP="00BE239D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N=328</w:t>
            </w:r>
          </w:p>
          <w:p w14:paraId="1661F1C7" w14:textId="77777777" w:rsidR="00BE239D" w:rsidRPr="000713DB" w:rsidRDefault="00BE239D" w:rsidP="00781CA2">
            <w:pPr>
              <w:jc w:val="center"/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5E" w14:textId="04A62310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Q</w:t>
            </w:r>
            <w:r w:rsidR="00BE239D">
              <w:rPr>
                <w:rFonts w:cs="Arial"/>
                <w:b w:val="0"/>
                <w:sz w:val="18"/>
                <w:szCs w:val="18"/>
                <w:lang w:val="pt-PT"/>
              </w:rPr>
              <w:t>UET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=159</w:t>
            </w:r>
          </w:p>
          <w:p w14:paraId="3BBA545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Placebo=169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60" w14:textId="77777777" w:rsidR="00BD3A25" w:rsidRPr="000713DB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12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6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de consumo: Método del Time line follow-back.</w:t>
            </w:r>
          </w:p>
          <w:p w14:paraId="3BBA5462" w14:textId="77777777" w:rsidR="00BD3A25" w:rsidRPr="000713DB" w:rsidRDefault="00BD3A25" w:rsidP="00781CA2">
            <w:pPr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</w:p>
          <w:p w14:paraId="3BBA5463" w14:textId="77777777" w:rsidR="00BD3A25" w:rsidRPr="000713DB" w:rsidRDefault="00BD3A25" w:rsidP="00781CA2">
            <w:pPr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 xml:space="preserve">Variable principal: cambio en la proporción de días de consumo elevado. </w:t>
            </w:r>
          </w:p>
          <w:p w14:paraId="3BBA5464" w14:textId="77777777" w:rsidR="00BD3A25" w:rsidRPr="000713DB" w:rsidRDefault="00BD3A25" w:rsidP="00781CA2">
            <w:pPr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 xml:space="preserve">Variables secundarias: </w:t>
            </w:r>
          </w:p>
          <w:p w14:paraId="3BBA5465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>- Cambio en la proporción de días sin consumo</w:t>
            </w:r>
          </w:p>
          <w:p w14:paraId="3BBA5466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>- Número medio de UBEs/día</w:t>
            </w:r>
          </w:p>
          <w:p w14:paraId="3BBA5467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>- Tiempo hasta las 2 primeras semanas de abstinencia de alcohol</w:t>
            </w:r>
          </w:p>
          <w:p w14:paraId="3BBA5468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>- Cantidad de cigarrillos/día</w:t>
            </w:r>
          </w:p>
          <w:p w14:paraId="3BBA5469" w14:textId="290202AD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eastAsia="es-ES"/>
              </w:rPr>
              <w:t xml:space="preserve">- Cambio en la GGT </w:t>
            </w:r>
          </w:p>
          <w:p w14:paraId="3BBA546B" w14:textId="7F505A2D" w:rsidR="00BD3A25" w:rsidRPr="000713DB" w:rsidRDefault="00BD3A25" w:rsidP="00BE239D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- OCDS</w:t>
            </w:r>
          </w:p>
          <w:p w14:paraId="3BBA546C" w14:textId="26889A7E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- BSCS</w:t>
            </w:r>
          </w:p>
          <w:p w14:paraId="3BBA546E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</w:pPr>
          </w:p>
          <w:p w14:paraId="3BBA546F" w14:textId="77777777" w:rsidR="00BD3A25" w:rsidRPr="000713DB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</w:pPr>
            <w:r w:rsidRPr="000713DB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Variables afectivas:</w:t>
            </w:r>
          </w:p>
          <w:p w14:paraId="3BBA5474" w14:textId="3478FB83" w:rsidR="00BD3A25" w:rsidRPr="0003599C" w:rsidRDefault="00BD3A25" w:rsidP="0003599C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YMRS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MADRS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="00BE239D" w:rsidRPr="0003599C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CGI-S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="00BE239D" w:rsidRPr="0003599C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CGI-I</w:t>
            </w:r>
            <w:r w:rsidR="0003599C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BE239D"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  <w:t>HAM-A</w:t>
            </w:r>
          </w:p>
          <w:p w14:paraId="3BBA5475" w14:textId="77777777" w:rsidR="00BD3A25" w:rsidRPr="00BE239D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n-US" w:eastAsia="es-ES"/>
              </w:rPr>
            </w:pPr>
          </w:p>
          <w:p w14:paraId="3BBA5476" w14:textId="77777777" w:rsidR="00BD3A25" w:rsidRPr="00ED498E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</w:pPr>
            <w:r w:rsidRPr="00ED498E"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  <w:t xml:space="preserve">Otras variables: </w:t>
            </w:r>
          </w:p>
          <w:p w14:paraId="3BBA547A" w14:textId="30AEEA51" w:rsidR="00BD3A25" w:rsidRPr="001A6CE3" w:rsidRDefault="00BD3A25" w:rsidP="00781CA2">
            <w:pPr>
              <w:autoSpaceDE w:val="0"/>
              <w:autoSpaceDN w:val="0"/>
              <w:adjustRightInd w:val="0"/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</w:pPr>
            <w:r w:rsidRPr="001A6CE3"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  <w:t>- Q-LES-Q</w:t>
            </w:r>
            <w:r w:rsidR="002874BF" w:rsidRPr="001A6CE3"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  <w:t xml:space="preserve">, </w:t>
            </w:r>
            <w:r w:rsidRPr="001A6CE3">
              <w:rPr>
                <w:rFonts w:eastAsia="AdvTimes" w:cs="AdvTimes"/>
                <w:b w:val="0"/>
                <w:sz w:val="18"/>
                <w:szCs w:val="18"/>
                <w:lang w:val="es-ES" w:eastAsia="es-ES"/>
              </w:rPr>
              <w:t>SDS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7D" w14:textId="1101E97E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Es el estudio con el mayor tamaño muestral de los incluidos y es multicéntrico.</w:t>
            </w:r>
          </w:p>
          <w:p w14:paraId="116740FF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7F" w14:textId="41352F48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Adecuado control de tratamientos concomitantes, tanto farmacológicos (mayor homogeneidad) como psicotera</w:t>
            </w:r>
            <w:r w:rsidR="00EF7EFC">
              <w:rPr>
                <w:rFonts w:cs="Arial"/>
                <w:b w:val="0"/>
                <w:sz w:val="18"/>
                <w:szCs w:val="18"/>
              </w:rPr>
              <w:t>p</w:t>
            </w:r>
            <w:r w:rsidRPr="000713DB">
              <w:rPr>
                <w:rFonts w:cs="Arial"/>
                <w:b w:val="0"/>
                <w:sz w:val="18"/>
                <w:szCs w:val="18"/>
              </w:rPr>
              <w:t>éuticos (que se prohíbe su inicio durante el ensayo).</w:t>
            </w:r>
          </w:p>
          <w:p w14:paraId="3063C349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81" w14:textId="7E479118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Heterogeneidad en el tipo de episodios afectivos, que podían ser de cualquier tipo, aunque predominaban los depresivos o mixtos (85%).</w:t>
            </w:r>
          </w:p>
          <w:p w14:paraId="1A965429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8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Elevada tasa de abandonos (57%) sobre todo por efectos adversos.</w:t>
            </w:r>
          </w:p>
        </w:tc>
      </w:tr>
      <w:tr w:rsidR="00BD3A25" w:rsidRPr="00D711E3" w14:paraId="3BBA54CC" w14:textId="77777777" w:rsidTr="00EF7EFC">
        <w:trPr>
          <w:cantSplit/>
          <w:trHeight w:val="4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84" w14:textId="77777777" w:rsidR="00BD3A25" w:rsidRPr="000713DB" w:rsidRDefault="0068368B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Tolliver 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8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48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48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488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48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48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8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8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8E" w14:textId="0B7911C1" w:rsidR="00BD3A25" w:rsidRPr="000713DB" w:rsidRDefault="00BE239D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>
              <w:rPr>
                <w:rFonts w:cs="Arial"/>
                <w:b w:val="0"/>
                <w:sz w:val="18"/>
                <w:szCs w:val="18"/>
                <w:lang w:val="it-IT"/>
              </w:rPr>
              <w:t>TB</w:t>
            </w:r>
          </w:p>
          <w:p w14:paraId="3BBA5490" w14:textId="112037B2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- tipo I (13/30)</w:t>
            </w:r>
          </w:p>
          <w:p w14:paraId="3BBA5492" w14:textId="1F2978A7" w:rsidR="00BD3A25" w:rsidRDefault="00BD3A25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it-IT"/>
              </w:rPr>
              <w:t>- tipo II (17/30)</w:t>
            </w:r>
          </w:p>
          <w:p w14:paraId="15064FC0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</w:p>
          <w:p w14:paraId="3BBA5494" w14:textId="6A55DACF" w:rsidR="00BD3A25" w:rsidRPr="000713DB" w:rsidRDefault="00BD3A25" w:rsidP="00A243AE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Y</w:t>
            </w:r>
          </w:p>
          <w:p w14:paraId="3BBA549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Dependencia de alcohol, con consumo en los 90 días previos. </w:t>
            </w:r>
          </w:p>
          <w:p w14:paraId="3BBA549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97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99" w14:textId="7747C640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1. A</w:t>
            </w:r>
            <w:r w:rsidR="009A177F">
              <w:rPr>
                <w:rFonts w:cs="Arial"/>
                <w:b w:val="0"/>
                <w:sz w:val="18"/>
                <w:szCs w:val="18"/>
                <w:lang w:val="da-DK"/>
              </w:rPr>
              <w:t>CAM</w:t>
            </w: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 xml:space="preserve"> 1998 mg/día </w:t>
            </w:r>
          </w:p>
          <w:p w14:paraId="3BBA549A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2. Placebo</w:t>
            </w:r>
          </w:p>
          <w:p w14:paraId="3BBA549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49C" w14:textId="2ADB4A9F" w:rsidR="00BD3A25" w:rsidRPr="000713DB" w:rsidRDefault="009A177F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>T</w:t>
            </w:r>
            <w:r w:rsidR="00BD3A25" w:rsidRPr="000713DB">
              <w:rPr>
                <w:rFonts w:cs="Arial"/>
                <w:b w:val="0"/>
                <w:sz w:val="18"/>
                <w:szCs w:val="18"/>
                <w:lang w:val="da-DK"/>
              </w:rPr>
              <w:t>ratamiento estabilizante sin cambios durante al menos un mes.</w:t>
            </w:r>
          </w:p>
          <w:p w14:paraId="3BBA549D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49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Tratamiento concomitante:</w:t>
            </w:r>
          </w:p>
          <w:p w14:paraId="3BBA549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da-DK"/>
              </w:rPr>
              <w:t>-</w:t>
            </w:r>
            <w:r w:rsidRPr="000713DB">
              <w:rPr>
                <w:rFonts w:cs="Arial"/>
                <w:b w:val="0"/>
                <w:sz w:val="18"/>
                <w:szCs w:val="18"/>
              </w:rPr>
              <w:t xml:space="preserve"> Litio: 7/30</w:t>
            </w:r>
          </w:p>
          <w:p w14:paraId="3BBA54A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Anticomiciales: 21/30</w:t>
            </w:r>
          </w:p>
          <w:p w14:paraId="3BBA54A1" w14:textId="10D3CDD0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</w:t>
            </w:r>
            <w:r w:rsidR="009A177F">
              <w:rPr>
                <w:rFonts w:cs="Arial"/>
                <w:b w:val="0"/>
                <w:sz w:val="18"/>
                <w:szCs w:val="18"/>
              </w:rPr>
              <w:t>P</w:t>
            </w:r>
            <w:r w:rsidRPr="000713DB">
              <w:rPr>
                <w:rFonts w:cs="Arial"/>
                <w:b w:val="0"/>
                <w:sz w:val="18"/>
                <w:szCs w:val="18"/>
              </w:rPr>
              <w:t>: 15/30</w:t>
            </w:r>
          </w:p>
          <w:p w14:paraId="3BBA54A2" w14:textId="400544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A</w:t>
            </w:r>
            <w:r w:rsidR="009A177F">
              <w:rPr>
                <w:rFonts w:cs="Arial"/>
                <w:b w:val="0"/>
                <w:sz w:val="18"/>
                <w:szCs w:val="18"/>
              </w:rPr>
              <w:t>D</w:t>
            </w:r>
            <w:r w:rsidRPr="000713DB">
              <w:rPr>
                <w:rFonts w:cs="Arial"/>
                <w:b w:val="0"/>
                <w:sz w:val="18"/>
                <w:szCs w:val="18"/>
              </w:rPr>
              <w:t>: 15/30</w:t>
            </w:r>
          </w:p>
          <w:p w14:paraId="3BBA54A3" w14:textId="16A3A05F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B</w:t>
            </w:r>
            <w:r w:rsidR="009A177F">
              <w:rPr>
                <w:rFonts w:cs="Arial"/>
                <w:b w:val="0"/>
                <w:sz w:val="18"/>
                <w:szCs w:val="18"/>
              </w:rPr>
              <w:t>ZD</w:t>
            </w:r>
            <w:r w:rsidRPr="000713DB">
              <w:rPr>
                <w:rFonts w:cs="Arial"/>
                <w:b w:val="0"/>
                <w:sz w:val="18"/>
                <w:szCs w:val="18"/>
              </w:rPr>
              <w:t>: 4/30</w:t>
            </w:r>
          </w:p>
          <w:p w14:paraId="3BBA54A4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A6" w14:textId="665BE2A6" w:rsidR="00BD3A25" w:rsidRPr="000713DB" w:rsidRDefault="00BE239D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I</w:t>
            </w:r>
            <w:r w:rsidR="00BD3A25" w:rsidRPr="000713DB">
              <w:rPr>
                <w:rFonts w:cs="Arial"/>
                <w:b w:val="0"/>
                <w:sz w:val="18"/>
                <w:szCs w:val="18"/>
              </w:rPr>
              <w:t xml:space="preserve">ntervención psicosocial semanal breve (“counseling”).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A8" w14:textId="77777777" w:rsidR="00BD3A25" w:rsidRPr="000713DB" w:rsidRDefault="00BD3A25" w:rsidP="002874BF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N=30</w:t>
            </w:r>
          </w:p>
          <w:p w14:paraId="3BBA54A9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AA" w14:textId="6B7E6703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A</w:t>
            </w:r>
            <w:r w:rsidR="009A177F">
              <w:rPr>
                <w:rFonts w:cs="Arial"/>
                <w:b w:val="0"/>
                <w:sz w:val="18"/>
                <w:szCs w:val="18"/>
                <w:lang w:val="pt-PT"/>
              </w:rPr>
              <w:t>CAM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=14</w:t>
            </w:r>
          </w:p>
          <w:p w14:paraId="3BBA54AB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Placebo=16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AC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8 semanas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A18B" w14:textId="77777777" w:rsidR="00BE239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de consumo:</w:t>
            </w:r>
            <w:r w:rsidR="009A177F">
              <w:rPr>
                <w:rFonts w:cs="Arial"/>
                <w:b w:val="0"/>
                <w:sz w:val="18"/>
                <w:szCs w:val="18"/>
                <w:lang w:val="pt-PT"/>
              </w:rPr>
              <w:t xml:space="preserve"> </w:t>
            </w:r>
          </w:p>
          <w:p w14:paraId="3BBA54AD" w14:textId="6BA71DD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Time line follow-back.</w:t>
            </w:r>
          </w:p>
          <w:p w14:paraId="3BBA54AE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AF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Variables primarias:</w:t>
            </w:r>
          </w:p>
          <w:p w14:paraId="3BBA54B0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Tiempo hasta el primer día de consumo</w:t>
            </w:r>
          </w:p>
          <w:p w14:paraId="3BBA54B1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- Tiempo hasta el primer día de consumo elevado (definido como </w:t>
            </w:r>
            <w:r w:rsidRPr="000713DB">
              <w:rPr>
                <w:rFonts w:cs="Arial"/>
                <w:b w:val="0"/>
                <w:sz w:val="18"/>
                <w:szCs w:val="18"/>
                <w:u w:val="single"/>
                <w:lang w:val="pt-PT"/>
              </w:rPr>
              <w:t>&gt;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 xml:space="preserve"> 4 UBEs/día para mujeres y </w:t>
            </w:r>
            <w:r w:rsidRPr="000713DB">
              <w:rPr>
                <w:rFonts w:cs="Arial"/>
                <w:b w:val="0"/>
                <w:sz w:val="18"/>
                <w:szCs w:val="18"/>
                <w:u w:val="single"/>
                <w:lang w:val="pt-PT"/>
              </w:rPr>
              <w:t>&gt;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5 UBEs/día para varones).</w:t>
            </w:r>
          </w:p>
          <w:p w14:paraId="3BBA54B2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4B3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Otras variables:</w:t>
            </w:r>
          </w:p>
          <w:p w14:paraId="3BBA54B4" w14:textId="5AC6AF2C" w:rsidR="00BD3A25" w:rsidRPr="001A6CE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- OCDS:</w:t>
            </w:r>
            <w:r w:rsidRPr="001A6CE3">
              <w:rPr>
                <w:rFonts w:cs="Arial"/>
                <w:b w:val="0"/>
                <w:sz w:val="18"/>
                <w:szCs w:val="18"/>
                <w:lang w:val="es-ES"/>
              </w:rPr>
              <w:t xml:space="preserve"> </w:t>
            </w:r>
          </w:p>
          <w:p w14:paraId="3BBA54B5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Biomarcadores de consumo de alcohol</w:t>
            </w:r>
          </w:p>
          <w:p w14:paraId="3BBA54B6" w14:textId="77777777" w:rsidR="00BD3A25" w:rsidRPr="000713DB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B7" w14:textId="77777777" w:rsidR="00BD3A25" w:rsidRPr="00ED498E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ED498E">
              <w:rPr>
                <w:rFonts w:cs="Arial"/>
                <w:b w:val="0"/>
                <w:sz w:val="18"/>
                <w:szCs w:val="18"/>
                <w:lang w:val="es-ES"/>
              </w:rPr>
              <w:t>Variables afectivas y generales:</w:t>
            </w:r>
          </w:p>
          <w:p w14:paraId="3BBA54BF" w14:textId="248EC90A" w:rsidR="00BD3A25" w:rsidRPr="002874BF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YMRS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Pr="000713DB">
              <w:rPr>
                <w:rFonts w:cs="Arial"/>
                <w:b w:val="0"/>
                <w:sz w:val="18"/>
                <w:szCs w:val="18"/>
                <w:lang w:val="pt-PT"/>
              </w:rPr>
              <w:t>MADRS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="009A177F" w:rsidRPr="001A6CE3">
              <w:rPr>
                <w:rFonts w:cs="Arial"/>
                <w:b w:val="0"/>
                <w:sz w:val="18"/>
                <w:szCs w:val="18"/>
                <w:lang w:val="es-ES"/>
              </w:rPr>
              <w:t>CGI-S</w:t>
            </w:r>
            <w:r w:rsidR="002874BF">
              <w:rPr>
                <w:rFonts w:cs="Arial"/>
                <w:b w:val="0"/>
                <w:sz w:val="18"/>
                <w:szCs w:val="18"/>
                <w:lang w:val="pt-PT"/>
              </w:rPr>
              <w:t xml:space="preserve">, </w:t>
            </w:r>
            <w:r w:rsidR="009A177F" w:rsidRPr="001A6CE3">
              <w:rPr>
                <w:rFonts w:cs="Arial"/>
                <w:b w:val="0"/>
                <w:sz w:val="18"/>
                <w:szCs w:val="18"/>
                <w:lang w:val="es-ES"/>
              </w:rPr>
              <w:t>CGI-I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C2" w14:textId="16A5410A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Tamaño muestral muy reducido.</w:t>
            </w:r>
          </w:p>
          <w:p w14:paraId="5CBCD846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C4" w14:textId="5A8ED54F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Un único centro.</w:t>
            </w:r>
          </w:p>
          <w:p w14:paraId="349A185C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7EB4B109" w14:textId="0AC28016" w:rsidR="009A177F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Heterogeneidad importante en los tratamientos de base</w:t>
            </w:r>
            <w:r w:rsidR="009A177F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62B87C8B" w14:textId="77777777" w:rsidR="00A243AE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C6" w14:textId="542AE9A0" w:rsidR="00BD3A25" w:rsidRDefault="009A177F" w:rsidP="00781CA2">
            <w:pPr>
              <w:pStyle w:val="Prrafodelista"/>
              <w:numPr>
                <w:ilvl w:val="0"/>
                <w:numId w:val="1"/>
              </w:numPr>
              <w:ind w:left="66" w:hanging="66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L</w:t>
            </w:r>
            <w:r w:rsidR="00BD3A25" w:rsidRPr="009A177F">
              <w:rPr>
                <w:rFonts w:cs="Arial"/>
                <w:b w:val="0"/>
                <w:sz w:val="18"/>
                <w:szCs w:val="18"/>
              </w:rPr>
              <w:t>a mitad de la muestra tomaba antidepresivos de mantenimiento.</w:t>
            </w:r>
          </w:p>
          <w:p w14:paraId="0D5180AF" w14:textId="77777777" w:rsidR="00A243AE" w:rsidRPr="009A177F" w:rsidRDefault="00A243AE" w:rsidP="00A243AE">
            <w:pPr>
              <w:pStyle w:val="Prrafodelista"/>
              <w:ind w:left="66"/>
              <w:rPr>
                <w:rFonts w:cs="Arial"/>
                <w:b w:val="0"/>
                <w:sz w:val="18"/>
                <w:szCs w:val="18"/>
              </w:rPr>
            </w:pPr>
          </w:p>
          <w:p w14:paraId="3BBA54C8" w14:textId="142767EA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>- Heterogeneidad en el estado afectivo de los sujetos. Se excluían aquellos con síntomas afectivos graves y debían llevar un tratamiento farmacológico sin cambios, con lo que se asume un nivel de síntomas afectivos bajo, pero sin especificar episodio o polaridad.</w:t>
            </w:r>
          </w:p>
          <w:p w14:paraId="46CA2644" w14:textId="77777777" w:rsidR="00A243AE" w:rsidRPr="000713DB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CB" w14:textId="7EA9D28C" w:rsidR="00BD3A25" w:rsidRPr="00812B5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713DB">
              <w:rPr>
                <w:rFonts w:cs="Arial"/>
                <w:b w:val="0"/>
                <w:sz w:val="18"/>
                <w:szCs w:val="18"/>
              </w:rPr>
              <w:t xml:space="preserve">- Los resultados no observan diferencias excepto en un outcome secundario, que es un análisis post-hoc de la mejoría en la </w:t>
            </w:r>
            <w:r w:rsidR="009A177F">
              <w:rPr>
                <w:rFonts w:cs="Arial"/>
                <w:b w:val="0"/>
                <w:sz w:val="18"/>
                <w:szCs w:val="18"/>
              </w:rPr>
              <w:t>CGI</w:t>
            </w:r>
            <w:r w:rsidRPr="000713DB">
              <w:rPr>
                <w:rFonts w:cs="Arial"/>
                <w:b w:val="0"/>
                <w:sz w:val="18"/>
                <w:szCs w:val="18"/>
              </w:rPr>
              <w:t>-Consumo de sustancias en la última semana del ensayo.</w:t>
            </w:r>
            <w:bookmarkStart w:id="0" w:name="_GoBack"/>
            <w:bookmarkEnd w:id="0"/>
          </w:p>
        </w:tc>
      </w:tr>
    </w:tbl>
    <w:p w14:paraId="1221C0BA" w14:textId="2438DA35" w:rsidR="009A177F" w:rsidRPr="0003599C" w:rsidRDefault="00D35C67" w:rsidP="0003599C">
      <w:pPr>
        <w:ind w:left="-851" w:right="142"/>
        <w:rPr>
          <w:rFonts w:cs="Arial"/>
          <w:b w:val="0"/>
          <w:sz w:val="18"/>
          <w:szCs w:val="18"/>
          <w:lang w:val="en-US"/>
        </w:rPr>
      </w:pPr>
      <w:r w:rsidRPr="000713DB">
        <w:rPr>
          <w:rFonts w:cs="Arial"/>
          <w:b w:val="0"/>
          <w:sz w:val="18"/>
          <w:szCs w:val="18"/>
          <w:lang w:val="pt-PT"/>
        </w:rPr>
        <w:t>A</w:t>
      </w:r>
      <w:r>
        <w:rPr>
          <w:rFonts w:cs="Arial"/>
          <w:b w:val="0"/>
          <w:sz w:val="18"/>
          <w:szCs w:val="18"/>
          <w:lang w:val="pt-PT"/>
        </w:rPr>
        <w:t xml:space="preserve">C: Anticolinérgicos; ACAM: Acamprosato; </w:t>
      </w:r>
      <w:r w:rsidRPr="0003599C">
        <w:rPr>
          <w:rFonts w:eastAsia="AdvTimes" w:cs="AdvTimes"/>
          <w:b w:val="0"/>
          <w:sz w:val="18"/>
          <w:szCs w:val="18"/>
          <w:lang w:val="en-US" w:eastAsia="es-ES"/>
        </w:rPr>
        <w:t xml:space="preserve">ACOM: Anticomiciales; </w:t>
      </w:r>
      <w:r>
        <w:rPr>
          <w:rFonts w:cs="Arial"/>
          <w:b w:val="0"/>
          <w:sz w:val="18"/>
          <w:szCs w:val="18"/>
          <w:lang w:val="pt-PT"/>
        </w:rPr>
        <w:t xml:space="preserve">AD: Antidepresivos; </w:t>
      </w:r>
      <w:r w:rsidRPr="000713DB">
        <w:rPr>
          <w:rFonts w:cs="Arial"/>
          <w:b w:val="0"/>
          <w:sz w:val="18"/>
          <w:szCs w:val="18"/>
          <w:lang w:val="pt-PT"/>
        </w:rPr>
        <w:t>AIMS: Abnormal Involuntary Movement Scale</w:t>
      </w:r>
      <w:r>
        <w:rPr>
          <w:rFonts w:cs="Arial"/>
          <w:b w:val="0"/>
          <w:sz w:val="18"/>
          <w:szCs w:val="18"/>
          <w:lang w:val="pt-PT"/>
        </w:rPr>
        <w:t xml:space="preserve">; AP: antipsicóticos; </w:t>
      </w:r>
      <w:r w:rsidRPr="000713DB">
        <w:rPr>
          <w:rFonts w:cs="Arial"/>
          <w:b w:val="0"/>
          <w:sz w:val="18"/>
          <w:szCs w:val="18"/>
          <w:lang w:val="pt-PT"/>
        </w:rPr>
        <w:t>BAS: Barnes Akathisia Scale</w:t>
      </w:r>
      <w:r>
        <w:rPr>
          <w:rFonts w:cs="Arial"/>
          <w:b w:val="0"/>
          <w:sz w:val="18"/>
          <w:szCs w:val="18"/>
          <w:lang w:val="pt-PT"/>
        </w:rPr>
        <w:t>;</w:t>
      </w:r>
      <w:r w:rsidRPr="0003599C">
        <w:rPr>
          <w:rFonts w:cs="Arial"/>
          <w:b w:val="0"/>
          <w:sz w:val="18"/>
          <w:szCs w:val="18"/>
          <w:lang w:val="en-US"/>
        </w:rPr>
        <w:t xml:space="preserve"> BMRS: Bech-Rafaelsen Mania Scale;</w:t>
      </w:r>
      <w:r w:rsidRPr="00D35C67">
        <w:rPr>
          <w:rFonts w:eastAsia="AdvTimes" w:cs="AdvTimes"/>
          <w:b w:val="0"/>
          <w:sz w:val="18"/>
          <w:szCs w:val="18"/>
          <w:lang w:val="pt-PT" w:eastAsia="es-ES"/>
        </w:rPr>
        <w:t xml:space="preserve"> </w:t>
      </w:r>
      <w:r w:rsidRPr="00BE239D">
        <w:rPr>
          <w:rFonts w:eastAsia="AdvTimes" w:cs="AdvTimes"/>
          <w:b w:val="0"/>
          <w:sz w:val="18"/>
          <w:szCs w:val="18"/>
          <w:lang w:val="pt-PT" w:eastAsia="es-ES"/>
        </w:rPr>
        <w:t>BSCS: Brief Substance Craving Scale:</w:t>
      </w:r>
      <w:r w:rsidRPr="0003599C">
        <w:rPr>
          <w:rFonts w:cs="Arial"/>
          <w:b w:val="0"/>
          <w:sz w:val="18"/>
          <w:szCs w:val="18"/>
          <w:lang w:val="en-US"/>
        </w:rPr>
        <w:t xml:space="preserve"> </w:t>
      </w:r>
      <w:r>
        <w:rPr>
          <w:rFonts w:cs="Arial"/>
          <w:b w:val="0"/>
          <w:sz w:val="18"/>
          <w:szCs w:val="18"/>
          <w:lang w:val="pt-PT"/>
        </w:rPr>
        <w:t xml:space="preserve">BZD: Benzodiacepinas; </w:t>
      </w:r>
      <w:r w:rsidRPr="0003599C">
        <w:rPr>
          <w:rFonts w:cs="Arial"/>
          <w:b w:val="0"/>
          <w:sz w:val="18"/>
          <w:szCs w:val="18"/>
          <w:lang w:val="en-US"/>
        </w:rPr>
        <w:t xml:space="preserve">BZT: Benzotropina; CGI-I: Impresión clínica global-Mejoría; CGI-S: Impresión clínica global-Gravedad; </w:t>
      </w:r>
      <w:r w:rsidRPr="0003599C">
        <w:rPr>
          <w:rFonts w:eastAsia="AdvTimes" w:cs="AdvTimes"/>
          <w:b w:val="0"/>
          <w:sz w:val="18"/>
          <w:szCs w:val="18"/>
          <w:lang w:val="en-US" w:eastAsia="es-ES"/>
        </w:rPr>
        <w:t xml:space="preserve">DIS: Disulfiram; ECA: Ensayo Clinico Aleatorizado; </w:t>
      </w:r>
      <w:r>
        <w:rPr>
          <w:rFonts w:cs="Arial"/>
          <w:b w:val="0"/>
          <w:sz w:val="18"/>
          <w:szCs w:val="18"/>
          <w:lang w:val="pt-PT"/>
        </w:rPr>
        <w:t>GGT:</w:t>
      </w:r>
      <w:r>
        <w:rPr>
          <w:rFonts w:eastAsia="AdvTimes" w:cs="AdvTimes"/>
          <w:b w:val="0"/>
          <w:sz w:val="18"/>
          <w:szCs w:val="18"/>
          <w:lang w:val="pt-PT" w:eastAsia="es-ES"/>
        </w:rPr>
        <w:t xml:space="preserve"> </w:t>
      </w:r>
      <w:r w:rsidRPr="00BE239D">
        <w:rPr>
          <w:rFonts w:eastAsia="AdvTimes" w:cs="AdvTimes"/>
          <w:b w:val="0"/>
          <w:sz w:val="18"/>
          <w:szCs w:val="18"/>
          <w:lang w:val="pt-PT" w:eastAsia="es-ES"/>
        </w:rPr>
        <w:t xml:space="preserve">gamma glutamyl-transferasa; </w:t>
      </w:r>
      <w:r>
        <w:rPr>
          <w:rFonts w:cs="Arial"/>
          <w:b w:val="0"/>
          <w:sz w:val="18"/>
          <w:szCs w:val="18"/>
          <w:lang w:val="pt-PT"/>
        </w:rPr>
        <w:t xml:space="preserve">HAL: Haloperidol; HAM-A: </w:t>
      </w:r>
      <w:r w:rsidRPr="00BE239D">
        <w:rPr>
          <w:rFonts w:eastAsia="AdvTimes" w:cs="AdvTimes"/>
          <w:b w:val="0"/>
          <w:sz w:val="18"/>
          <w:szCs w:val="18"/>
          <w:lang w:val="pt-PT" w:eastAsia="es-ES"/>
        </w:rPr>
        <w:t>Hamilton Rating Scale for Anxiety</w:t>
      </w:r>
      <w:r>
        <w:rPr>
          <w:rFonts w:eastAsia="AdvTimes" w:cs="AdvTimes"/>
          <w:b w:val="0"/>
          <w:sz w:val="18"/>
          <w:szCs w:val="18"/>
          <w:lang w:val="pt-PT" w:eastAsia="es-ES"/>
        </w:rPr>
        <w:t xml:space="preserve">; </w:t>
      </w:r>
      <w:r w:rsidRPr="0003599C">
        <w:rPr>
          <w:rFonts w:cs="Arial"/>
          <w:b w:val="0"/>
          <w:sz w:val="18"/>
          <w:szCs w:val="18"/>
          <w:lang w:val="en-US"/>
        </w:rPr>
        <w:t xml:space="preserve">HAM-D: </w:t>
      </w:r>
      <w:r w:rsidRPr="000713DB">
        <w:rPr>
          <w:rFonts w:cs="Arial"/>
          <w:b w:val="0"/>
          <w:sz w:val="18"/>
          <w:szCs w:val="18"/>
          <w:lang w:val="pt-PT"/>
        </w:rPr>
        <w:t>17-item Hamilton Rating Scale for Depression</w:t>
      </w:r>
      <w:r>
        <w:rPr>
          <w:rFonts w:cs="Arial"/>
          <w:b w:val="0"/>
          <w:sz w:val="18"/>
          <w:szCs w:val="18"/>
          <w:lang w:val="pt-PT"/>
        </w:rPr>
        <w:t>;</w:t>
      </w:r>
      <w:r w:rsidRPr="0003599C">
        <w:rPr>
          <w:rFonts w:cs="Arial"/>
          <w:b w:val="0"/>
          <w:sz w:val="18"/>
          <w:szCs w:val="18"/>
          <w:lang w:val="en-US"/>
        </w:rPr>
        <w:t xml:space="preserve"> HAM- 25: 25-item Hamilton Rating Scale for Depression; </w:t>
      </w:r>
      <w:r w:rsidRPr="00D35C67">
        <w:rPr>
          <w:rFonts w:cs="Arial"/>
          <w:b w:val="0"/>
          <w:sz w:val="18"/>
          <w:szCs w:val="18"/>
          <w:lang w:val="en-US"/>
        </w:rPr>
        <w:t>IDS</w:t>
      </w:r>
      <w:r w:rsidR="0003599C">
        <w:rPr>
          <w:rFonts w:cs="Arial"/>
          <w:b w:val="0"/>
          <w:sz w:val="18"/>
          <w:szCs w:val="18"/>
          <w:lang w:val="en-US"/>
        </w:rPr>
        <w:t>-</w:t>
      </w:r>
      <w:r w:rsidRPr="00D35C67">
        <w:rPr>
          <w:rFonts w:cs="Arial"/>
          <w:b w:val="0"/>
          <w:sz w:val="18"/>
          <w:szCs w:val="18"/>
          <w:lang w:val="en-US"/>
        </w:rPr>
        <w:t xml:space="preserve">SR30: Inventory of Depressive Symptomatology Self-Report 30-item version ; </w:t>
      </w:r>
      <w:r w:rsidRPr="00D35C67">
        <w:rPr>
          <w:rFonts w:eastAsia="AdvTimes" w:cs="AdvTimes"/>
          <w:b w:val="0"/>
          <w:sz w:val="18"/>
          <w:szCs w:val="18"/>
          <w:lang w:val="en-US" w:eastAsia="es-ES"/>
        </w:rPr>
        <w:t xml:space="preserve">ESQ: Esquizofrenia; 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LAM: Lamotrigina; </w:t>
      </w:r>
      <w:r w:rsidRPr="000713DB">
        <w:rPr>
          <w:rFonts w:cs="Arial"/>
          <w:b w:val="0"/>
          <w:sz w:val="18"/>
          <w:szCs w:val="18"/>
          <w:lang w:val="pt-PT"/>
        </w:rPr>
        <w:t>MADRS: Montgomery-Asberg Depression Rating Scale</w:t>
      </w:r>
      <w:r>
        <w:rPr>
          <w:rFonts w:cs="Arial"/>
          <w:b w:val="0"/>
          <w:sz w:val="18"/>
          <w:szCs w:val="18"/>
          <w:lang w:val="pt-PT"/>
        </w:rPr>
        <w:t>;</w:t>
      </w:r>
      <w:r w:rsidRPr="00D35C67">
        <w:rPr>
          <w:rFonts w:cs="Arial"/>
          <w:b w:val="0"/>
          <w:sz w:val="18"/>
          <w:szCs w:val="18"/>
          <w:lang w:val="pt-PT"/>
        </w:rPr>
        <w:t xml:space="preserve"> </w:t>
      </w:r>
      <w:r w:rsidRPr="00D35C67">
        <w:rPr>
          <w:rFonts w:asciiTheme="minorHAnsi" w:eastAsiaTheme="minorHAnsi" w:hAnsiTheme="minorHAnsi" w:cstheme="minorHAnsi"/>
          <w:b w:val="0"/>
          <w:color w:val="auto"/>
          <w:sz w:val="18"/>
          <w:szCs w:val="18"/>
          <w:lang w:val="en-US"/>
        </w:rPr>
        <w:t xml:space="preserve">MINI: Mini International Neuropsychiatric </w:t>
      </w:r>
      <w:r w:rsidRPr="00D35C67">
        <w:rPr>
          <w:rFonts w:asciiTheme="minorHAnsi" w:eastAsiaTheme="minorHAnsi" w:hAnsiTheme="minorHAnsi" w:cstheme="minorHAnsi"/>
          <w:b w:val="0"/>
          <w:color w:val="auto"/>
          <w:sz w:val="18"/>
          <w:szCs w:val="18"/>
          <w:lang w:val="en-US"/>
        </w:rPr>
        <w:lastRenderedPageBreak/>
        <w:t>Interview;</w:t>
      </w:r>
      <w:r w:rsidRPr="00D35C67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NTX: Naltrexona; </w:t>
      </w:r>
      <w:r w:rsidR="009A177F" w:rsidRPr="00D35C67">
        <w:rPr>
          <w:rFonts w:cs="Arial"/>
          <w:b w:val="0"/>
          <w:sz w:val="18"/>
          <w:szCs w:val="18"/>
          <w:lang w:val="en-US"/>
        </w:rPr>
        <w:t>OCDS: Obsessive Compulsive Drinking and Abstinence Scale</w:t>
      </w:r>
      <w:r>
        <w:rPr>
          <w:rFonts w:cs="Arial"/>
          <w:b w:val="0"/>
          <w:sz w:val="18"/>
          <w:szCs w:val="18"/>
          <w:lang w:val="en-US"/>
        </w:rPr>
        <w:t>;</w:t>
      </w:r>
      <w:r w:rsidR="009A177F" w:rsidRPr="00D35C67">
        <w:rPr>
          <w:rFonts w:cs="Arial"/>
          <w:b w:val="0"/>
          <w:sz w:val="18"/>
          <w:szCs w:val="18"/>
          <w:lang w:val="en-US"/>
        </w:rPr>
        <w:t xml:space="preserve"> 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OXC: Oxcarbazepina; PACS: </w:t>
      </w:r>
      <w:r w:rsidRPr="000713DB">
        <w:rPr>
          <w:rFonts w:cs="Arial"/>
          <w:b w:val="0"/>
          <w:sz w:val="18"/>
          <w:szCs w:val="18"/>
          <w:lang w:val="en-US"/>
        </w:rPr>
        <w:t>Penn Alcohol Craving Scale</w:t>
      </w:r>
      <w:r>
        <w:rPr>
          <w:rFonts w:cs="Arial"/>
          <w:b w:val="0"/>
          <w:sz w:val="18"/>
          <w:szCs w:val="18"/>
          <w:lang w:val="en-US"/>
        </w:rPr>
        <w:t xml:space="preserve">; </w:t>
      </w:r>
      <w:r w:rsidR="009A177F">
        <w:rPr>
          <w:rFonts w:cs="Arial"/>
          <w:b w:val="0"/>
          <w:sz w:val="18"/>
          <w:szCs w:val="18"/>
          <w:lang w:val="en-US"/>
        </w:rPr>
        <w:t xml:space="preserve">PANSS: </w:t>
      </w:r>
      <w:r w:rsidR="009A177F" w:rsidRPr="009A177F">
        <w:rPr>
          <w:rFonts w:cs="Arial"/>
          <w:b w:val="0"/>
          <w:sz w:val="18"/>
          <w:szCs w:val="18"/>
          <w:lang w:val="en-US"/>
        </w:rPr>
        <w:t>Psychotic Positive and Negative Symptom Scale</w:t>
      </w:r>
      <w:r>
        <w:rPr>
          <w:rFonts w:cs="Arial"/>
          <w:b w:val="0"/>
          <w:sz w:val="18"/>
          <w:szCs w:val="18"/>
          <w:lang w:val="en-US"/>
        </w:rPr>
        <w:t xml:space="preserve">; </w:t>
      </w:r>
      <w:r>
        <w:rPr>
          <w:rFonts w:cs="Arial"/>
          <w:b w:val="0"/>
          <w:sz w:val="18"/>
          <w:szCs w:val="18"/>
          <w:lang w:val="pt-PT"/>
        </w:rPr>
        <w:t xml:space="preserve">PAR: Paroxetina; </w:t>
      </w:r>
      <w:r w:rsidRPr="00D35C67">
        <w:rPr>
          <w:rFonts w:cs="Arial"/>
          <w:b w:val="0"/>
          <w:sz w:val="18"/>
          <w:szCs w:val="18"/>
          <w:lang w:val="en-US"/>
        </w:rPr>
        <w:t xml:space="preserve">PFZ: Perfenazina; </w:t>
      </w:r>
      <w:r>
        <w:rPr>
          <w:rFonts w:cs="Arial"/>
          <w:b w:val="0"/>
          <w:sz w:val="18"/>
          <w:szCs w:val="18"/>
          <w:lang w:val="pt-PT"/>
        </w:rPr>
        <w:t xml:space="preserve">PRD-III: </w:t>
      </w:r>
      <w:r w:rsidRPr="000713DB">
        <w:rPr>
          <w:rFonts w:cs="Arial"/>
          <w:b w:val="0"/>
          <w:sz w:val="18"/>
          <w:szCs w:val="18"/>
          <w:lang w:val="en-US"/>
        </w:rPr>
        <w:t>Psychobiology of Recovery in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 w:rsidRPr="000713DB">
        <w:rPr>
          <w:rFonts w:cs="Arial"/>
          <w:b w:val="0"/>
          <w:sz w:val="18"/>
          <w:szCs w:val="18"/>
          <w:lang w:val="en-US"/>
        </w:rPr>
        <w:t>Depression III - Somatic Symptom Scale</w:t>
      </w:r>
      <w:r>
        <w:rPr>
          <w:rFonts w:cs="Arial"/>
          <w:b w:val="0"/>
          <w:sz w:val="18"/>
          <w:szCs w:val="18"/>
          <w:lang w:val="en-US"/>
        </w:rPr>
        <w:t xml:space="preserve">; </w:t>
      </w:r>
      <w:r>
        <w:rPr>
          <w:rFonts w:eastAsia="AdvTimes" w:cs="AdvTimes"/>
          <w:b w:val="0"/>
          <w:sz w:val="18"/>
          <w:szCs w:val="18"/>
          <w:lang w:val="pt-PT" w:eastAsia="es-ES"/>
        </w:rPr>
        <w:t xml:space="preserve">Q-LES-Q:  </w:t>
      </w:r>
      <w:r w:rsidRPr="000713DB">
        <w:rPr>
          <w:rFonts w:eastAsia="AdvTimes" w:cs="AdvTimes"/>
          <w:b w:val="0"/>
          <w:sz w:val="18"/>
          <w:szCs w:val="18"/>
          <w:lang w:val="en-US" w:eastAsia="es-ES"/>
        </w:rPr>
        <w:t>Quality of Life Enjoyment and Satisfaction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 w:rsidRPr="000713DB">
        <w:rPr>
          <w:rFonts w:eastAsia="AdvTimes" w:cs="AdvTimes"/>
          <w:b w:val="0"/>
          <w:sz w:val="18"/>
          <w:szCs w:val="18"/>
          <w:lang w:val="en-US" w:eastAsia="es-ES"/>
        </w:rPr>
        <w:t>Questionnaire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; </w:t>
      </w:r>
      <w:r>
        <w:rPr>
          <w:rFonts w:cs="Arial"/>
          <w:b w:val="0"/>
          <w:sz w:val="18"/>
          <w:szCs w:val="18"/>
          <w:lang w:val="pt-PT"/>
        </w:rPr>
        <w:t xml:space="preserve">QUET: Quetiapina; </w:t>
      </w:r>
      <w:r w:rsidRPr="000713DB">
        <w:rPr>
          <w:rFonts w:cs="Arial"/>
          <w:b w:val="0"/>
          <w:sz w:val="18"/>
          <w:szCs w:val="18"/>
          <w:lang w:val="pt-PT"/>
        </w:rPr>
        <w:t>SAS: Simpson-Angus Scale</w:t>
      </w:r>
      <w:r>
        <w:rPr>
          <w:rFonts w:cs="Arial"/>
          <w:b w:val="0"/>
          <w:sz w:val="18"/>
          <w:szCs w:val="18"/>
          <w:lang w:val="pt-PT"/>
        </w:rPr>
        <w:t>;</w:t>
      </w:r>
      <w:r w:rsidRPr="00D35C67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SDS: </w:t>
      </w:r>
      <w:r w:rsidRPr="000713DB">
        <w:rPr>
          <w:rFonts w:eastAsia="AdvTimes" w:cs="AdvTimes"/>
          <w:b w:val="0"/>
          <w:sz w:val="18"/>
          <w:szCs w:val="18"/>
          <w:lang w:val="en-US" w:eastAsia="es-ES"/>
        </w:rPr>
        <w:t>Sheehan Disability Scale</w:t>
      </w:r>
      <w:r>
        <w:rPr>
          <w:rFonts w:eastAsia="AdvTimes" w:cs="AdvTimes"/>
          <w:b w:val="0"/>
          <w:sz w:val="18"/>
          <w:szCs w:val="18"/>
          <w:lang w:val="en-US" w:eastAsia="es-ES"/>
        </w:rPr>
        <w:t>;</w:t>
      </w:r>
      <w:r w:rsidR="0003599C">
        <w:rPr>
          <w:rFonts w:cs="Arial"/>
          <w:b w:val="0"/>
          <w:sz w:val="18"/>
          <w:szCs w:val="18"/>
          <w:lang w:val="en-US"/>
        </w:rPr>
        <w:t xml:space="preserve"> </w:t>
      </w:r>
      <w:r w:rsidRPr="0003599C">
        <w:rPr>
          <w:rFonts w:cs="Arial"/>
          <w:b w:val="0"/>
          <w:sz w:val="18"/>
          <w:szCs w:val="18"/>
          <w:lang w:val="en-US"/>
        </w:rPr>
        <w:t>SERT: Sertralina;</w:t>
      </w:r>
      <w:r>
        <w:rPr>
          <w:rFonts w:cs="Arial"/>
          <w:b w:val="0"/>
          <w:sz w:val="18"/>
          <w:szCs w:val="18"/>
          <w:lang w:val="pt-PT"/>
        </w:rPr>
        <w:t xml:space="preserve"> TB: Trastorno Bipolar;</w:t>
      </w:r>
      <w:r w:rsidRPr="000713DB">
        <w:rPr>
          <w:rFonts w:cs="Arial"/>
          <w:b w:val="0"/>
          <w:sz w:val="18"/>
          <w:szCs w:val="18"/>
          <w:lang w:val="pt-PT"/>
        </w:rPr>
        <w:t xml:space="preserve"> </w:t>
      </w:r>
      <w:r w:rsidRPr="0003599C">
        <w:rPr>
          <w:rFonts w:eastAsia="AdvTimes" w:cs="AdvTimes"/>
          <w:b w:val="0"/>
          <w:sz w:val="18"/>
          <w:szCs w:val="18"/>
          <w:lang w:val="en-US" w:eastAsia="es-ES"/>
        </w:rPr>
        <w:t xml:space="preserve">TCC: Terapia Cognitivo-conductual; TEA: Trastorno Esquizoafectivo; </w:t>
      </w:r>
      <w:r w:rsidRPr="000713DB">
        <w:rPr>
          <w:rFonts w:cs="Arial"/>
          <w:b w:val="0"/>
          <w:sz w:val="18"/>
          <w:szCs w:val="18"/>
          <w:lang w:val="pt-PT"/>
        </w:rPr>
        <w:t>T</w:t>
      </w:r>
      <w:r>
        <w:rPr>
          <w:rFonts w:cs="Arial"/>
          <w:b w:val="0"/>
          <w:sz w:val="18"/>
          <w:szCs w:val="18"/>
          <w:lang w:val="pt-PT"/>
        </w:rPr>
        <w:t xml:space="preserve">RZ: Trazodona; </w:t>
      </w:r>
      <w:r w:rsidRPr="0003599C">
        <w:rPr>
          <w:rFonts w:eastAsia="AdvTimes" w:cs="AdvTimes"/>
          <w:b w:val="0"/>
          <w:sz w:val="18"/>
          <w:szCs w:val="18"/>
          <w:lang w:val="en-US" w:eastAsia="es-ES"/>
        </w:rPr>
        <w:t xml:space="preserve">VAL: Valproato; </w:t>
      </w:r>
      <w:r w:rsidR="009A177F" w:rsidRPr="000713DB">
        <w:rPr>
          <w:rFonts w:cs="Arial"/>
          <w:b w:val="0"/>
          <w:sz w:val="18"/>
          <w:szCs w:val="18"/>
          <w:lang w:val="pt-PT"/>
        </w:rPr>
        <w:t>YMRS: Young Mania Rating Scale</w:t>
      </w:r>
      <w:r>
        <w:rPr>
          <w:rFonts w:cs="Arial"/>
          <w:b w:val="0"/>
          <w:sz w:val="18"/>
          <w:szCs w:val="18"/>
          <w:lang w:val="pt-PT"/>
        </w:rPr>
        <w:t xml:space="preserve">; </w:t>
      </w:r>
    </w:p>
    <w:p w14:paraId="5C946E0C" w14:textId="77777777" w:rsidR="00D35C67" w:rsidRDefault="00D35C67" w:rsidP="009A177F">
      <w:pPr>
        <w:rPr>
          <w:rFonts w:cs="Arial"/>
          <w:b w:val="0"/>
          <w:sz w:val="18"/>
          <w:szCs w:val="18"/>
          <w:lang w:val="pt-PT"/>
        </w:rPr>
      </w:pPr>
    </w:p>
    <w:p w14:paraId="1D16F3A3" w14:textId="7C5B85FD" w:rsidR="00BE239D" w:rsidRPr="00BE239D" w:rsidRDefault="00BE239D" w:rsidP="00BE239D">
      <w:pPr>
        <w:rPr>
          <w:rFonts w:cs="Arial"/>
          <w:b w:val="0"/>
          <w:sz w:val="18"/>
          <w:szCs w:val="18"/>
          <w:lang w:val="pt-PT"/>
        </w:rPr>
      </w:pPr>
    </w:p>
    <w:p w14:paraId="3BBA54CD" w14:textId="5A67FCB5" w:rsidR="00BD3A25" w:rsidRPr="009A177F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CE" w14:textId="77777777" w:rsidR="00BD3A25" w:rsidRPr="00BE239D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CF" w14:textId="77777777" w:rsidR="00BD3A25" w:rsidRPr="00BE239D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D0" w14:textId="77777777" w:rsidR="00BD3A25" w:rsidRPr="00BE239D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D1" w14:textId="77777777" w:rsidR="00BD3A25" w:rsidRPr="00BE239D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D2" w14:textId="39CA8E2E" w:rsidR="00BD3A25" w:rsidRPr="00BE239D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2ABD3B13" w14:textId="77777777" w:rsidR="009A177F" w:rsidRPr="00BE239D" w:rsidRDefault="009A177F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D3" w14:textId="77777777" w:rsidR="000713DB" w:rsidRPr="00BE239D" w:rsidRDefault="000713DB" w:rsidP="00BD3A25">
      <w:pPr>
        <w:widowControl w:val="0"/>
        <w:spacing w:after="200"/>
        <w:rPr>
          <w:bCs w:val="0"/>
          <w:sz w:val="18"/>
          <w:szCs w:val="18"/>
          <w:u w:color="002060"/>
          <w:lang w:val="pt-PT" w:eastAsia="es-ES"/>
        </w:rPr>
      </w:pPr>
    </w:p>
    <w:p w14:paraId="3BBA54D4" w14:textId="521305BF" w:rsidR="00EF7EFC" w:rsidRDefault="00EF7EFC">
      <w:pPr>
        <w:spacing w:after="160" w:line="259" w:lineRule="auto"/>
        <w:jc w:val="left"/>
        <w:rPr>
          <w:bCs w:val="0"/>
          <w:sz w:val="18"/>
          <w:szCs w:val="18"/>
          <w:u w:color="002060"/>
          <w:lang w:val="pt-PT" w:eastAsia="es-ES"/>
        </w:rPr>
      </w:pPr>
    </w:p>
    <w:sectPr w:rsidR="00EF7EFC" w:rsidSect="00EE4157">
      <w:pgSz w:w="16838" w:h="11906" w:orient="landscape"/>
      <w:pgMar w:top="851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mes">
    <w:altName w:val="Malgun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D201E"/>
    <w:multiLevelType w:val="hybridMultilevel"/>
    <w:tmpl w:val="D19AB6D2"/>
    <w:lvl w:ilvl="0" w:tplc="4C92D1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FDD"/>
    <w:multiLevelType w:val="hybridMultilevel"/>
    <w:tmpl w:val="580A06A4"/>
    <w:lvl w:ilvl="0" w:tplc="4F6099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D9D"/>
    <w:rsid w:val="0003599C"/>
    <w:rsid w:val="000713DB"/>
    <w:rsid w:val="000E110D"/>
    <w:rsid w:val="000F7CD3"/>
    <w:rsid w:val="00117F28"/>
    <w:rsid w:val="00197B03"/>
    <w:rsid w:val="001A0FBE"/>
    <w:rsid w:val="001A6CE3"/>
    <w:rsid w:val="001B744E"/>
    <w:rsid w:val="001F1F3D"/>
    <w:rsid w:val="0026514D"/>
    <w:rsid w:val="00283E54"/>
    <w:rsid w:val="002874BF"/>
    <w:rsid w:val="002B3E04"/>
    <w:rsid w:val="002D292D"/>
    <w:rsid w:val="002F2674"/>
    <w:rsid w:val="0032521D"/>
    <w:rsid w:val="00354C63"/>
    <w:rsid w:val="004F2DE6"/>
    <w:rsid w:val="005F5690"/>
    <w:rsid w:val="0068368B"/>
    <w:rsid w:val="00697EC6"/>
    <w:rsid w:val="006E4D3A"/>
    <w:rsid w:val="00704883"/>
    <w:rsid w:val="00754FC3"/>
    <w:rsid w:val="0076032C"/>
    <w:rsid w:val="00781CA2"/>
    <w:rsid w:val="007B2857"/>
    <w:rsid w:val="00812B5D"/>
    <w:rsid w:val="00835034"/>
    <w:rsid w:val="00853FF9"/>
    <w:rsid w:val="00870672"/>
    <w:rsid w:val="008C19AD"/>
    <w:rsid w:val="009440E0"/>
    <w:rsid w:val="00945BDF"/>
    <w:rsid w:val="009A177F"/>
    <w:rsid w:val="00A243AE"/>
    <w:rsid w:val="00BD3A25"/>
    <w:rsid w:val="00BE239D"/>
    <w:rsid w:val="00CC1F29"/>
    <w:rsid w:val="00CE0D0A"/>
    <w:rsid w:val="00D35C67"/>
    <w:rsid w:val="00D711E3"/>
    <w:rsid w:val="00E5113D"/>
    <w:rsid w:val="00E80D9D"/>
    <w:rsid w:val="00ED498E"/>
    <w:rsid w:val="00EE4157"/>
    <w:rsid w:val="00E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E8A"/>
  <w15:docId w15:val="{593BF4A2-F92C-4B42-A5A0-47B8281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A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26</cp:revision>
  <dcterms:created xsi:type="dcterms:W3CDTF">2016-09-11T15:16:00Z</dcterms:created>
  <dcterms:modified xsi:type="dcterms:W3CDTF">2020-04-03T07:26:00Z</dcterms:modified>
</cp:coreProperties>
</file>