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96A26" w14:textId="02544F4A" w:rsidR="00C90381" w:rsidRPr="00692E2E" w:rsidRDefault="00C90381" w:rsidP="00692E2E">
      <w:pPr>
        <w:pStyle w:val="CuerpoA"/>
        <w:widowControl w:val="0"/>
        <w:ind w:left="-709" w:right="142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7221E5C2" w14:textId="4D829D46" w:rsidR="00096FFC" w:rsidRPr="00E03382" w:rsidRDefault="00DA097D" w:rsidP="00096FFC">
      <w:pPr>
        <w:pStyle w:val="CuerpoA"/>
        <w:widowControl w:val="0"/>
        <w:spacing w:after="20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 xml:space="preserve">Tabla 5. </w:t>
      </w:r>
      <w:r w:rsidR="00096FFC" w:rsidRPr="00E03382"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>ESTUDIOS EN ESQUIZOFRENIA Y VARIOS TRASTORNOS POR USO DE SUSTANCIAS</w:t>
      </w:r>
    </w:p>
    <w:tbl>
      <w:tblPr>
        <w:tblW w:w="15593" w:type="dxa"/>
        <w:tblInd w:w="-714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101"/>
        <w:gridCol w:w="1281"/>
        <w:gridCol w:w="1559"/>
        <w:gridCol w:w="1985"/>
        <w:gridCol w:w="952"/>
        <w:gridCol w:w="1417"/>
        <w:gridCol w:w="2410"/>
        <w:gridCol w:w="4888"/>
      </w:tblGrid>
      <w:tr w:rsidR="00096FFC" w:rsidRPr="00E03382" w14:paraId="2FAD2E77" w14:textId="77777777" w:rsidTr="00096FFC">
        <w:trPr>
          <w:cantSplit/>
          <w:trHeight w:val="74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8439B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AUTOR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5C2A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DISEÑO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7C58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INTERVENCIÓN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0195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PACIENTES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5AC9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EXP(N)/</w:t>
            </w:r>
          </w:p>
          <w:p w14:paraId="3685D0EC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COMP(N)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C9F9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SEGUIMIENTO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1FEF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merodepgina1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VARIABLES DE RESULTADO</w:t>
            </w:r>
          </w:p>
          <w:p w14:paraId="714F02CA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(CLÍNICAS, DE CONSUMO Y PRAGMÁTICAS)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0008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LIMITACIONES/SESGOS</w:t>
            </w:r>
          </w:p>
        </w:tc>
      </w:tr>
      <w:tr w:rsidR="00096FFC" w:rsidRPr="006A42A5" w14:paraId="1B520035" w14:textId="77777777" w:rsidTr="00096FFC">
        <w:trPr>
          <w:cantSplit/>
          <w:trHeight w:val="8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52F0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Akerele</w:t>
            </w:r>
          </w:p>
          <w:p w14:paraId="1C669483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1878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362373E2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Doble-Ciego, Ambulatorios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791A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5-20mg/d </w:t>
            </w:r>
          </w:p>
          <w:p w14:paraId="642F7F4F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2. RIS 3-9mg/d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E1A1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Esquizofrenia o Tr Esquizoafectivo + TUS (cocaína, cannabis). </w:t>
            </w:r>
          </w:p>
          <w:p w14:paraId="1A638E7E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SCID.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E49AB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14/14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136A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14 sem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B1BC" w14:textId="67078E42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H</w:t>
            </w:r>
            <w:r w:rsidR="00AD2DCA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-D. PANSS positiva, PAN</w:t>
            </w:r>
            <w:r w:rsidR="00AD2DCA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 negativa.</w:t>
            </w:r>
          </w:p>
          <w:p w14:paraId="2295462D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Test de Orina, Craving.</w:t>
            </w:r>
          </w:p>
          <w:p w14:paraId="53B1EDC2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Efectos secundarios: AIMS, SAS. Conformidad.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1B44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Muestra pequeña. Seguimiento corto. Mayoritariamente hombres (89%). Posible sesgo de publicación selectiva. No se recogieron datos de consumo de otras sustancias. Financiado por </w:t>
            </w:r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>Eli Lilly.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Abandonos de seguimiento: El 57.1% finalizó el estudio (OLZ n=6; RIS n=10).</w:t>
            </w:r>
          </w:p>
        </w:tc>
      </w:tr>
      <w:tr w:rsidR="00096FFC" w:rsidRPr="006A42A5" w14:paraId="2753D779" w14:textId="77777777" w:rsidTr="00AD68E6">
        <w:trPr>
          <w:cantSplit/>
          <w:trHeight w:val="164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B883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Green</w:t>
            </w:r>
          </w:p>
          <w:p w14:paraId="02594978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25D6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3B0C40C9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38C8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5-20mg/d </w:t>
            </w:r>
          </w:p>
          <w:p w14:paraId="027541BA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2. HAL 2-20mg/d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33B7" w14:textId="77777777" w:rsidR="00096FFC" w:rsidRPr="00AD68E6" w:rsidRDefault="00096FFC" w:rsidP="00096FFC">
            <w:pPr>
              <w:pStyle w:val="CuerpoA"/>
              <w:ind w:left="31" w:hanging="31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Primer episodio psicótico (Esquizofrenia, TEA, Esquizofreniforme) + TUS (cannabis, alcohol). </w:t>
            </w:r>
          </w:p>
          <w:p w14:paraId="7D37E7B1" w14:textId="77777777" w:rsidR="00096FFC" w:rsidRPr="00AD68E6" w:rsidRDefault="00096FFC" w:rsidP="00096FFC">
            <w:pPr>
              <w:pStyle w:val="CuerpoA"/>
              <w:ind w:left="31" w:hanging="31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DSM-IV, SCID.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7DF0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131/131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47AC5E24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12 sem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3AA471E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PANSS, CGI. Respuesta a tratamiento.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51B1A6AB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Criterio exclusión: dependencia de sustancias en el último mes. </w:t>
            </w:r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>Lilly Research Laboratoies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participó de forma indirecta/directa en el estudio.</w:t>
            </w:r>
          </w:p>
        </w:tc>
      </w:tr>
      <w:tr w:rsidR="00096FFC" w:rsidRPr="006A42A5" w14:paraId="7839DE15" w14:textId="77777777" w:rsidTr="00131D76">
        <w:trPr>
          <w:cantSplit/>
          <w:trHeight w:val="13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FF44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Swartz</w:t>
            </w:r>
          </w:p>
          <w:p w14:paraId="3AB6CA64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2D6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56FCADEA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Doble-Ciego,</w:t>
            </w:r>
          </w:p>
          <w:p w14:paraId="6B562932" w14:textId="77777777" w:rsidR="00131D7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Multicéntrico</w:t>
            </w:r>
          </w:p>
          <w:p w14:paraId="36A8D562" w14:textId="322C5F70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Hospitalizado +ambulatorio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CF3F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1. OLZ 7.5-30mg/d </w:t>
            </w:r>
          </w:p>
          <w:p w14:paraId="013151AC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2. PRZ 8-32mg/d </w:t>
            </w:r>
          </w:p>
          <w:p w14:paraId="5C16E649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3. QUE 200-800mg/d </w:t>
            </w:r>
          </w:p>
          <w:p w14:paraId="758D5E34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4. RIS 1.5-6mg/d </w:t>
            </w:r>
          </w:p>
          <w:p w14:paraId="4B63D478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5. ZPR 40-160mg/d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E8DE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Esquizofrenia + TUS o no-TUS</w:t>
            </w:r>
          </w:p>
          <w:p w14:paraId="1C246E5C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SCID.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6D81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(N= 1432).</w:t>
            </w:r>
          </w:p>
          <w:p w14:paraId="7137BC89" w14:textId="77777777" w:rsidR="00096FFC" w:rsidRPr="00AD68E6" w:rsidRDefault="00096FFC" w:rsidP="00096FFC">
            <w:pPr>
              <w:pStyle w:val="CuerpoA"/>
              <w:jc w:val="center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OLZ 142/ PRZ 124/ QUE 137/ RIS 157/ ZPS 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C956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18 meses.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09B92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CGI-S, PANSS.</w:t>
            </w:r>
          </w:p>
          <w:p w14:paraId="3E3CF3C7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Tasa de discontinuación. Hospitalización.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EB90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La dosis de medicación fue flexible y basadas en el juicio clínico. La adherencia fue monitorizada a través del recuento del número de pastillas. Posible sesgo de selección: “los pacientes con discinesia tardía concurrente (n=231), entraron en un esquema de aleatorización que los prevenía de entrar en la rama de tratamiento con PER”.</w:t>
            </w:r>
          </w:p>
        </w:tc>
      </w:tr>
    </w:tbl>
    <w:p w14:paraId="4F27588D" w14:textId="47A5B77F" w:rsidR="00AD68E6" w:rsidRPr="006A42A5" w:rsidRDefault="00AD2DCA" w:rsidP="006A42A5">
      <w:pPr>
        <w:pStyle w:val="CuerpoA"/>
        <w:ind w:left="-567" w:right="284"/>
        <w:jc w:val="both"/>
        <w:rPr>
          <w:rStyle w:val="Ninguno"/>
          <w:rFonts w:ascii="Calibri" w:eastAsia="Calibri" w:hAnsi="Calibri" w:cs="Calibri"/>
          <w:sz w:val="18"/>
          <w:szCs w:val="18"/>
          <w:lang w:val="es-ES"/>
        </w:rPr>
      </w:pPr>
      <w:r w:rsidRPr="00AD2DCA">
        <w:rPr>
          <w:rStyle w:val="Ninguno"/>
          <w:rFonts w:ascii="Calibri" w:eastAsia="Calibri" w:hAnsi="Calibri" w:cs="Calibri"/>
          <w:sz w:val="18"/>
          <w:szCs w:val="18"/>
          <w:lang w:val="es-ES"/>
        </w:rPr>
        <w:t xml:space="preserve">AIMS: Abnormal Involuntary Movement Scale; </w:t>
      </w:r>
      <w:r w:rsidR="00AD68E6" w:rsidRPr="00AD2DCA">
        <w:rPr>
          <w:rStyle w:val="Ninguno"/>
          <w:rFonts w:ascii="Calibri" w:eastAsia="Calibri" w:hAnsi="Calibri" w:cs="Calibri"/>
          <w:sz w:val="18"/>
          <w:szCs w:val="18"/>
          <w:lang w:val="es-ES"/>
        </w:rPr>
        <w:t xml:space="preserve">CGI: Clinical Global Impression, Impresión Clínica Global; ECA: Ensayo clinico aleatorizado; </w:t>
      </w:r>
      <w:r w:rsidRPr="00AD2DCA">
        <w:rPr>
          <w:rStyle w:val="Ninguno"/>
          <w:rFonts w:ascii="Calibri" w:eastAsia="Calibri" w:hAnsi="Calibri" w:cs="Calibri"/>
          <w:sz w:val="18"/>
          <w:szCs w:val="18"/>
          <w:lang w:val="es-ES"/>
        </w:rPr>
        <w:t xml:space="preserve">HAL: Haloperidol; </w:t>
      </w:r>
      <w:r w:rsidR="00AD68E6" w:rsidRPr="00AD2DCA">
        <w:rPr>
          <w:rStyle w:val="Ninguno"/>
          <w:rFonts w:ascii="Calibri" w:eastAsia="Calibri" w:hAnsi="Calibri" w:cs="Calibri"/>
          <w:sz w:val="18"/>
          <w:szCs w:val="18"/>
          <w:lang w:val="es-ES"/>
        </w:rPr>
        <w:t xml:space="preserve">HAM-D: Hamilton Depression Rating Scale; OLZ: Olanzapina; PANSS: Positive and Negative Syndrome Scale; PRZ: Perfenazina; QUE: Quetiapina; RIS: Risperidona; SAS: Simpson Angus Scale; </w:t>
      </w:r>
      <w:r w:rsidRPr="00AD2DCA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s-ES" w:eastAsia="en-US"/>
        </w:rPr>
        <w:t>SCID: Structured Clinical Interview for DSM-IV;</w:t>
      </w:r>
      <w:r w:rsidRPr="00AD2DCA">
        <w:rPr>
          <w:rStyle w:val="Ninguno"/>
          <w:rFonts w:eastAsia="Calibri"/>
          <w:lang w:val="es-ES"/>
        </w:rPr>
        <w:t xml:space="preserve"> </w:t>
      </w:r>
      <w:r w:rsidRPr="00AD2DCA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s-ES"/>
        </w:rPr>
        <w:t>TEA: Trastorno Esquizoafectivo;</w:t>
      </w:r>
      <w:r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s-ES"/>
        </w:rPr>
        <w:t xml:space="preserve"> </w:t>
      </w:r>
      <w:r w:rsidRPr="00946CE2">
        <w:rPr>
          <w:rStyle w:val="Ninguno"/>
          <w:rFonts w:ascii="Calibri" w:eastAsia="Calibri" w:hAnsi="Calibri" w:cs="Calibri"/>
          <w:sz w:val="18"/>
          <w:szCs w:val="18"/>
          <w:lang w:val="es-ES"/>
        </w:rPr>
        <w:t>TUS: Trastorno por Uso de Sustancias</w:t>
      </w:r>
      <w:r>
        <w:rPr>
          <w:rStyle w:val="Ninguno"/>
          <w:rFonts w:ascii="Calibri" w:eastAsia="Calibri" w:hAnsi="Calibri" w:cs="Calibri"/>
          <w:sz w:val="18"/>
          <w:szCs w:val="18"/>
          <w:lang w:val="es-ES"/>
        </w:rPr>
        <w:t>;</w:t>
      </w:r>
      <w:r w:rsidR="006A42A5">
        <w:rPr>
          <w:rStyle w:val="Ninguno"/>
          <w:rFonts w:ascii="Calibri" w:eastAsia="Calibri" w:hAnsi="Calibri" w:cs="Calibri"/>
          <w:sz w:val="18"/>
          <w:szCs w:val="18"/>
          <w:lang w:val="es-ES"/>
        </w:rPr>
        <w:t xml:space="preserve"> </w:t>
      </w:r>
      <w:bookmarkStart w:id="0" w:name="_GoBack"/>
      <w:bookmarkEnd w:id="0"/>
      <w:r w:rsidRPr="006A42A5">
        <w:rPr>
          <w:rStyle w:val="Ninguno"/>
          <w:rFonts w:ascii="Calibri" w:eastAsia="Calibri" w:hAnsi="Calibri" w:cs="Calibri"/>
          <w:sz w:val="18"/>
          <w:szCs w:val="18"/>
          <w:lang w:val="es-ES"/>
        </w:rPr>
        <w:t>ZPR: Ziprasidona</w:t>
      </w:r>
    </w:p>
    <w:p w14:paraId="676F39FD" w14:textId="31107CA6" w:rsidR="00AD2DCA" w:rsidRPr="006A42A5" w:rsidRDefault="00AD2DCA" w:rsidP="00AD68E6">
      <w:pPr>
        <w:pStyle w:val="CuerpoA"/>
        <w:ind w:left="-567" w:right="284"/>
        <w:jc w:val="both"/>
        <w:rPr>
          <w:rStyle w:val="Ninguno"/>
          <w:rFonts w:ascii="Calibri" w:eastAsia="Calibri" w:hAnsi="Calibri" w:cs="Calibri"/>
          <w:sz w:val="18"/>
          <w:szCs w:val="18"/>
          <w:lang w:val="es-ES"/>
        </w:rPr>
      </w:pPr>
    </w:p>
    <w:p w14:paraId="69B7E70A" w14:textId="77777777" w:rsidR="00AD68E6" w:rsidRPr="006A42A5" w:rsidRDefault="00AD68E6" w:rsidP="00096FFC">
      <w:pPr>
        <w:pStyle w:val="CuerpoA"/>
        <w:widowControl w:val="0"/>
        <w:spacing w:after="200"/>
        <w:jc w:val="both"/>
        <w:rPr>
          <w:rStyle w:val="Ninguno"/>
          <w:rFonts w:ascii="Calibri" w:eastAsia="Calibri" w:hAnsi="Calibri" w:cs="Calibri"/>
          <w:sz w:val="20"/>
          <w:szCs w:val="20"/>
          <w:u w:color="002060"/>
          <w:lang w:val="es-ES"/>
        </w:rPr>
      </w:pPr>
    </w:p>
    <w:p w14:paraId="74CBACBF" w14:textId="77777777" w:rsidR="007113C8" w:rsidRPr="006A42A5" w:rsidRDefault="007113C8">
      <w:pPr>
        <w:rPr>
          <w:lang w:val="es-ES"/>
        </w:rPr>
      </w:pPr>
    </w:p>
    <w:sectPr w:rsidR="007113C8" w:rsidRPr="006A42A5" w:rsidSect="00AD68E6">
      <w:pgSz w:w="16838" w:h="11906" w:orient="landscape"/>
      <w:pgMar w:top="709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4"/>
    <w:rsid w:val="00096FFC"/>
    <w:rsid w:val="00131D76"/>
    <w:rsid w:val="001F6B43"/>
    <w:rsid w:val="00464A1F"/>
    <w:rsid w:val="004763B4"/>
    <w:rsid w:val="004D0A98"/>
    <w:rsid w:val="00692E2E"/>
    <w:rsid w:val="006A42A5"/>
    <w:rsid w:val="006A5039"/>
    <w:rsid w:val="006E7B94"/>
    <w:rsid w:val="007113C8"/>
    <w:rsid w:val="007C34BB"/>
    <w:rsid w:val="00946CE2"/>
    <w:rsid w:val="009D6856"/>
    <w:rsid w:val="00AD2DCA"/>
    <w:rsid w:val="00AD68E6"/>
    <w:rsid w:val="00AE0894"/>
    <w:rsid w:val="00B61151"/>
    <w:rsid w:val="00BB0486"/>
    <w:rsid w:val="00C90381"/>
    <w:rsid w:val="00DA097D"/>
    <w:rsid w:val="00F06F7E"/>
    <w:rsid w:val="00F077BC"/>
    <w:rsid w:val="00F36474"/>
    <w:rsid w:val="00F80589"/>
    <w:rsid w:val="00F87D85"/>
    <w:rsid w:val="00F9241E"/>
    <w:rsid w:val="00F95C63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0E9"/>
  <w15:chartTrackingRefBased/>
  <w15:docId w15:val="{D69A7445-EBA0-4D8C-BC4B-BE363BB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96FFC"/>
    <w:pPr>
      <w:spacing w:after="0" w:line="240" w:lineRule="auto"/>
    </w:pPr>
    <w:rPr>
      <w:rFonts w:ascii="Calibri" w:eastAsia="Calibri" w:hAnsi="Calibri" w:cs="Calibri"/>
      <w:bCs/>
      <w:color w:val="000000"/>
      <w:sz w:val="20"/>
      <w:szCs w:val="20"/>
      <w:u w:color="000000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uiPriority w:val="99"/>
    <w:rsid w:val="00096FF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096FFC"/>
    <w:rPr>
      <w:lang w:val="es-ES_tradnl"/>
    </w:rPr>
  </w:style>
  <w:style w:type="character" w:customStyle="1" w:styleId="Nmerodepgina1">
    <w:name w:val="Número de página1"/>
    <w:autoRedefine/>
    <w:rsid w:val="00096FFC"/>
    <w:rPr>
      <w:lang w:val="es-ES_tradnl"/>
    </w:rPr>
  </w:style>
  <w:style w:type="paragraph" w:customStyle="1" w:styleId="Cuerpo">
    <w:name w:val="Cuerpo"/>
    <w:uiPriority w:val="99"/>
    <w:rsid w:val="00096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20</cp:revision>
  <dcterms:created xsi:type="dcterms:W3CDTF">2020-02-04T08:09:00Z</dcterms:created>
  <dcterms:modified xsi:type="dcterms:W3CDTF">2020-03-10T08:17:00Z</dcterms:modified>
</cp:coreProperties>
</file>