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53712" w14:textId="77777777" w:rsidR="00EC1627" w:rsidRDefault="00EC1627" w:rsidP="0027031A">
      <w:pPr>
        <w:spacing w:before="120" w:after="0" w:line="360" w:lineRule="auto"/>
        <w:contextualSpacing/>
        <w:rPr>
          <w:rFonts w:eastAsia="Times New Roman" w:cstheme="minorHAnsi"/>
          <w:bCs/>
          <w:noProof/>
          <w:color w:val="000000"/>
          <w:lang w:eastAsia="es-ES"/>
        </w:rPr>
      </w:pPr>
    </w:p>
    <w:p w14:paraId="15CEA6C7" w14:textId="77777777" w:rsidR="005C34E4" w:rsidRDefault="005C34E4" w:rsidP="0027031A">
      <w:pPr>
        <w:spacing w:before="120" w:after="0" w:line="360" w:lineRule="auto"/>
        <w:contextualSpacing/>
        <w:rPr>
          <w:rFonts w:eastAsia="Times New Roman" w:cstheme="minorHAnsi"/>
          <w:bCs/>
          <w:noProof/>
          <w:color w:val="000000"/>
          <w:lang w:eastAsia="es-ES"/>
        </w:rPr>
      </w:pPr>
    </w:p>
    <w:p w14:paraId="33E0CFE0" w14:textId="77777777" w:rsidR="00EC1627" w:rsidRDefault="00EC1627" w:rsidP="0027031A">
      <w:pPr>
        <w:spacing w:before="120" w:after="0" w:line="360" w:lineRule="auto"/>
        <w:contextualSpacing/>
        <w:rPr>
          <w:rFonts w:eastAsia="Times New Roman" w:cstheme="minorHAnsi"/>
          <w:bCs/>
          <w:noProof/>
          <w:color w:val="000000"/>
          <w:lang w:eastAsia="es-ES"/>
        </w:rPr>
      </w:pPr>
      <w:r>
        <w:rPr>
          <w:rFonts w:eastAsia="Times New Roman" w:cstheme="minorHAnsi"/>
          <w:bCs/>
          <w:noProof/>
          <w:color w:val="000000"/>
          <w:lang w:eastAsia="es-ES"/>
        </w:rPr>
        <w:t>Consejo Editorial</w:t>
      </w:r>
    </w:p>
    <w:p w14:paraId="529384F6" w14:textId="77777777" w:rsidR="00EC1627" w:rsidRDefault="0027031A" w:rsidP="0027031A">
      <w:pPr>
        <w:spacing w:before="120" w:after="0" w:line="360" w:lineRule="auto"/>
        <w:contextualSpacing/>
        <w:rPr>
          <w:rFonts w:eastAsia="Times New Roman" w:cstheme="minorHAnsi"/>
          <w:bCs/>
          <w:noProof/>
          <w:color w:val="000000"/>
          <w:lang w:eastAsia="es-ES"/>
        </w:rPr>
      </w:pPr>
      <w:r>
        <w:rPr>
          <w:rFonts w:eastAsia="Times New Roman" w:cstheme="minorHAnsi"/>
          <w:bCs/>
          <w:noProof/>
          <w:color w:val="000000"/>
          <w:lang w:eastAsia="es-ES"/>
        </w:rPr>
        <w:t>ADICCIONES</w:t>
      </w:r>
    </w:p>
    <w:p w14:paraId="0060C13D" w14:textId="77777777" w:rsidR="00EC1627" w:rsidRDefault="00EC1627" w:rsidP="0027031A">
      <w:pPr>
        <w:spacing w:before="120" w:after="0" w:line="360" w:lineRule="auto"/>
        <w:contextualSpacing/>
        <w:rPr>
          <w:rFonts w:eastAsia="Times New Roman" w:cstheme="minorHAnsi"/>
          <w:bCs/>
          <w:noProof/>
          <w:color w:val="000000"/>
          <w:lang w:eastAsia="es-ES"/>
        </w:rPr>
      </w:pPr>
    </w:p>
    <w:p w14:paraId="1AE1FBE8" w14:textId="77777777" w:rsidR="00EC1627" w:rsidRPr="003C16EC" w:rsidRDefault="00EC1627" w:rsidP="0027031A">
      <w:pPr>
        <w:spacing w:before="120" w:after="0" w:line="360" w:lineRule="auto"/>
        <w:contextualSpacing/>
        <w:jc w:val="right"/>
        <w:rPr>
          <w:rFonts w:eastAsia="Times New Roman" w:cstheme="minorHAnsi"/>
          <w:bCs/>
          <w:noProof/>
          <w:color w:val="000000"/>
          <w:lang w:eastAsia="es-ES"/>
        </w:rPr>
      </w:pPr>
      <w:r w:rsidRPr="003C16EC">
        <w:rPr>
          <w:rFonts w:eastAsia="Times New Roman" w:cstheme="minorHAnsi"/>
          <w:bCs/>
          <w:noProof/>
          <w:color w:val="000000"/>
          <w:lang w:eastAsia="es-ES"/>
        </w:rPr>
        <w:t xml:space="preserve">Pozuelo de Alarcón, </w:t>
      </w:r>
      <w:r w:rsidR="00011A5B">
        <w:rPr>
          <w:rFonts w:eastAsia="Times New Roman" w:cstheme="minorHAnsi"/>
          <w:bCs/>
          <w:noProof/>
          <w:color w:val="000000"/>
          <w:lang w:eastAsia="es-ES"/>
        </w:rPr>
        <w:t>1</w:t>
      </w:r>
      <w:r w:rsidR="00B70039">
        <w:rPr>
          <w:rFonts w:eastAsia="Times New Roman" w:cstheme="minorHAnsi"/>
          <w:bCs/>
          <w:noProof/>
          <w:color w:val="000000"/>
          <w:lang w:eastAsia="es-ES"/>
        </w:rPr>
        <w:t>9</w:t>
      </w:r>
      <w:r w:rsidR="00011A5B">
        <w:rPr>
          <w:rFonts w:eastAsia="Times New Roman" w:cstheme="minorHAnsi"/>
          <w:bCs/>
          <w:noProof/>
          <w:color w:val="000000"/>
          <w:lang w:eastAsia="es-ES"/>
        </w:rPr>
        <w:t xml:space="preserve"> de julio de 2019</w:t>
      </w:r>
    </w:p>
    <w:p w14:paraId="6A89B657" w14:textId="77777777" w:rsidR="00C51B70" w:rsidRDefault="00C51B70" w:rsidP="0027031A">
      <w:pPr>
        <w:spacing w:line="360" w:lineRule="auto"/>
      </w:pPr>
    </w:p>
    <w:p w14:paraId="402525A3" w14:textId="77777777" w:rsidR="0027031A" w:rsidRDefault="0027031A" w:rsidP="0027031A">
      <w:pPr>
        <w:spacing w:line="360" w:lineRule="auto"/>
      </w:pPr>
      <w:r>
        <w:t>Estimados editores,</w:t>
      </w:r>
    </w:p>
    <w:p w14:paraId="6C21A59E" w14:textId="074386B6" w:rsidR="00033FCB" w:rsidRDefault="00033FCB" w:rsidP="00FF532E">
      <w:pPr>
        <w:spacing w:line="360" w:lineRule="auto"/>
        <w:jc w:val="both"/>
        <w:rPr>
          <w:b/>
        </w:rPr>
      </w:pPr>
      <w:r w:rsidRPr="00033FCB">
        <w:t xml:space="preserve">Los autores queremos agradecer a los revisores </w:t>
      </w:r>
      <w:r w:rsidR="00B70039">
        <w:t>su</w:t>
      </w:r>
      <w:r w:rsidRPr="00033FCB">
        <w:t xml:space="preserve"> interés y los comentarios y sugeren</w:t>
      </w:r>
      <w:r>
        <w:t xml:space="preserve">cias aportados en </w:t>
      </w:r>
      <w:r w:rsidR="00215343">
        <w:t>l</w:t>
      </w:r>
      <w:r>
        <w:t xml:space="preserve">a revisión del manuscrito </w:t>
      </w:r>
      <w:r w:rsidRPr="00033FCB">
        <w:rPr>
          <w:b/>
        </w:rPr>
        <w:t>“Estudio para la determinación de medidas de resultados en salud en el trastorno por consumo de opiáceos. Análisis de Decisión Multicriterio.”</w:t>
      </w:r>
    </w:p>
    <w:p w14:paraId="61DBA292" w14:textId="77777777" w:rsidR="0027031A" w:rsidRDefault="00B70039" w:rsidP="00FF532E">
      <w:pPr>
        <w:spacing w:line="360" w:lineRule="auto"/>
        <w:jc w:val="both"/>
      </w:pPr>
      <w:r>
        <w:t xml:space="preserve">Se </w:t>
      </w:r>
      <w:r w:rsidR="0050617B">
        <w:t>han considerado</w:t>
      </w:r>
      <w:r w:rsidR="00033FCB" w:rsidRPr="00033FCB">
        <w:t xml:space="preserve"> todas las sugerencias en esta nueva versión</w:t>
      </w:r>
      <w:r w:rsidR="00EE70DF">
        <w:t>,</w:t>
      </w:r>
      <w:r w:rsidR="00033FCB" w:rsidRPr="00033FCB">
        <w:t xml:space="preserve"> </w:t>
      </w:r>
      <w:r w:rsidR="00EE70DF">
        <w:t>planteando</w:t>
      </w:r>
      <w:r w:rsidR="00033FCB" w:rsidRPr="00033FCB">
        <w:t xml:space="preserve"> una respuesta punto por punto a los comentarios de los revisores. Además, </w:t>
      </w:r>
      <w:r>
        <w:t>se ha</w:t>
      </w:r>
      <w:r w:rsidR="00033FCB" w:rsidRPr="00033FCB">
        <w:t xml:space="preserve"> revisado</w:t>
      </w:r>
      <w:r w:rsidR="00EE70DF">
        <w:t xml:space="preserve"> de nuevo</w:t>
      </w:r>
      <w:r w:rsidR="00033FCB" w:rsidRPr="00033FCB">
        <w:t xml:space="preserve"> el manuscrito </w:t>
      </w:r>
      <w:r w:rsidR="00C06AE5">
        <w:t xml:space="preserve">en su totalidad </w:t>
      </w:r>
      <w:r w:rsidR="00033FCB" w:rsidRPr="00033FCB">
        <w:t>y actualizado las secciones correspondientes.</w:t>
      </w:r>
      <w:r w:rsidR="00033FCB">
        <w:t xml:space="preserve"> </w:t>
      </w:r>
      <w:r w:rsidR="00033FCB" w:rsidRPr="00033FCB">
        <w:t xml:space="preserve">Para facilitar la revisión, </w:t>
      </w:r>
      <w:r>
        <w:t xml:space="preserve">se </w:t>
      </w:r>
      <w:r w:rsidR="00033FCB" w:rsidRPr="00033FCB">
        <w:t>adjunta</w:t>
      </w:r>
      <w:r>
        <w:t>n</w:t>
      </w:r>
      <w:r w:rsidR="00033FCB" w:rsidRPr="00033FCB">
        <w:t xml:space="preserve"> </w:t>
      </w:r>
      <w:r>
        <w:t>las</w:t>
      </w:r>
      <w:r w:rsidR="00033FCB" w:rsidRPr="00033FCB">
        <w:t xml:space="preserve"> nuevas versiones del manuscrito, una de ellas </w:t>
      </w:r>
      <w:r w:rsidR="00EE70DF">
        <w:t>“</w:t>
      </w:r>
      <w:r w:rsidR="00033FCB" w:rsidRPr="00033FCB">
        <w:t>limpia</w:t>
      </w:r>
      <w:r w:rsidR="00EE70DF">
        <w:t>”</w:t>
      </w:r>
      <w:r w:rsidR="00033FCB" w:rsidRPr="00033FCB">
        <w:t xml:space="preserve">, y otra resaltando los cambios incorporados </w:t>
      </w:r>
      <w:r w:rsidR="00EE70DF">
        <w:t>en función</w:t>
      </w:r>
      <w:r w:rsidR="00033FCB" w:rsidRPr="00033FCB">
        <w:t xml:space="preserve"> de las modificaciones sugeridas por los revisores.</w:t>
      </w:r>
    </w:p>
    <w:p w14:paraId="41F8A4C3" w14:textId="77777777" w:rsidR="00FF532E" w:rsidRDefault="00FF532E" w:rsidP="00FF532E">
      <w:pPr>
        <w:spacing w:line="360" w:lineRule="auto"/>
        <w:jc w:val="both"/>
      </w:pPr>
      <w:r w:rsidRPr="00FF532E">
        <w:t xml:space="preserve">Los comentarios </w:t>
      </w:r>
      <w:r w:rsidR="00EE70DF">
        <w:t>de los revisores</w:t>
      </w:r>
      <w:r w:rsidRPr="00FF532E">
        <w:t xml:space="preserve"> se muestran en negrita. Las respuestas y/o comentarios de los autores se presentan en texto normal y, por último, las modificaciones literales de los párrafos afectados del manuscrito en texto en cursiva.</w:t>
      </w:r>
    </w:p>
    <w:p w14:paraId="7AD5B1FD" w14:textId="3BBE9C9F" w:rsidR="00FF532E" w:rsidRDefault="00FF532E" w:rsidP="00FF532E">
      <w:pPr>
        <w:spacing w:line="360" w:lineRule="auto"/>
        <w:jc w:val="both"/>
      </w:pPr>
      <w:r w:rsidRPr="00FF532E">
        <w:t>Muchas gracias por su dedicación</w:t>
      </w:r>
      <w:r w:rsidR="00215343">
        <w:t xml:space="preserve"> y amabilidad</w:t>
      </w:r>
      <w:r w:rsidRPr="00FF532E">
        <w:t>.</w:t>
      </w:r>
    </w:p>
    <w:p w14:paraId="731A3F5A" w14:textId="77777777" w:rsidR="005C34E4" w:rsidRDefault="005C34E4" w:rsidP="00FF532E">
      <w:pPr>
        <w:spacing w:line="360" w:lineRule="auto"/>
        <w:jc w:val="both"/>
      </w:pPr>
      <w:r>
        <w:t>Atentamente,</w:t>
      </w:r>
    </w:p>
    <w:p w14:paraId="50FD570E" w14:textId="77777777" w:rsidR="005C34E4" w:rsidRDefault="005C34E4" w:rsidP="00FF532E">
      <w:pPr>
        <w:spacing w:line="360" w:lineRule="auto"/>
        <w:jc w:val="both"/>
      </w:pPr>
    </w:p>
    <w:p w14:paraId="22019B90" w14:textId="77777777" w:rsidR="005C34E4" w:rsidRDefault="005C34E4" w:rsidP="00FF532E">
      <w:pPr>
        <w:spacing w:line="360" w:lineRule="auto"/>
        <w:jc w:val="both"/>
      </w:pPr>
      <w:r>
        <w:t>Dr. Miguel Ángel Casado</w:t>
      </w:r>
    </w:p>
    <w:p w14:paraId="32B9B73C" w14:textId="77777777" w:rsidR="00B70039" w:rsidRDefault="00B70039" w:rsidP="00FF532E">
      <w:pPr>
        <w:spacing w:line="360" w:lineRule="auto"/>
        <w:jc w:val="both"/>
      </w:pPr>
      <w:r>
        <w:t>En representación de todos los autores</w:t>
      </w:r>
    </w:p>
    <w:p w14:paraId="19B73D0F" w14:textId="77777777" w:rsidR="005C34E4" w:rsidRDefault="005C34E4">
      <w:pPr>
        <w:spacing w:after="160" w:line="259" w:lineRule="auto"/>
      </w:pPr>
      <w:r>
        <w:br w:type="page"/>
      </w:r>
    </w:p>
    <w:p w14:paraId="25AE2E22" w14:textId="73DAF54D" w:rsidR="005C34E4" w:rsidRPr="006B054A" w:rsidRDefault="005C34E4" w:rsidP="005C34E4">
      <w:pPr>
        <w:spacing w:line="360" w:lineRule="auto"/>
        <w:jc w:val="both"/>
        <w:rPr>
          <w:b/>
          <w:u w:val="single"/>
        </w:rPr>
      </w:pPr>
      <w:r w:rsidRPr="006B054A">
        <w:rPr>
          <w:b/>
          <w:u w:val="single"/>
        </w:rPr>
        <w:lastRenderedPageBreak/>
        <w:t>COMENTARIOS DEL REVISOR</w:t>
      </w:r>
    </w:p>
    <w:p w14:paraId="262CA558" w14:textId="77777777" w:rsidR="006B054A" w:rsidRDefault="006B054A" w:rsidP="001520BF">
      <w:pPr>
        <w:spacing w:line="360" w:lineRule="auto"/>
        <w:jc w:val="both"/>
      </w:pPr>
    </w:p>
    <w:p w14:paraId="19CFF664" w14:textId="77777777" w:rsidR="00011A5B" w:rsidRPr="00011A5B" w:rsidRDefault="00E01F43" w:rsidP="005C34E4">
      <w:pPr>
        <w:spacing w:line="360" w:lineRule="auto"/>
        <w:jc w:val="both"/>
        <w:rPr>
          <w:b/>
        </w:rPr>
      </w:pPr>
      <w:r w:rsidRPr="00011A5B">
        <w:rPr>
          <w:b/>
        </w:rPr>
        <w:t>RESUMEN/ABSTRACT</w:t>
      </w:r>
    </w:p>
    <w:p w14:paraId="5A2C1080" w14:textId="77777777" w:rsidR="00011A5B" w:rsidRDefault="00011A5B" w:rsidP="00522480">
      <w:pPr>
        <w:spacing w:line="360" w:lineRule="auto"/>
        <w:jc w:val="both"/>
        <w:rPr>
          <w:b/>
        </w:rPr>
      </w:pPr>
      <w:r>
        <w:rPr>
          <w:b/>
        </w:rPr>
        <w:t xml:space="preserve">Falta estructurarlo (objetivo, métodos, resultados, conclusiones…) </w:t>
      </w:r>
      <w:r w:rsidR="00522480">
        <w:rPr>
          <w:b/>
        </w:rPr>
        <w:t>No se describen resultados. Las conclusiones no se concretan. Las palabras clave deberían seguir un orden más adecuado.</w:t>
      </w:r>
    </w:p>
    <w:p w14:paraId="6781E4DA" w14:textId="77777777" w:rsidR="00522480" w:rsidRPr="00522480" w:rsidRDefault="00522480" w:rsidP="005A0975">
      <w:pPr>
        <w:pStyle w:val="Textosinformato"/>
        <w:spacing w:after="240" w:line="360" w:lineRule="auto"/>
        <w:ind w:left="567"/>
        <w:jc w:val="both"/>
        <w:rPr>
          <w:rFonts w:asciiTheme="minorHAnsi" w:eastAsiaTheme="minorHAnsi" w:hAnsiTheme="minorHAnsi" w:cstheme="minorBidi"/>
          <w:szCs w:val="22"/>
          <w:lang w:eastAsia="en-US"/>
        </w:rPr>
      </w:pPr>
      <w:r w:rsidRPr="00522480">
        <w:rPr>
          <w:rFonts w:asciiTheme="minorHAnsi" w:eastAsiaTheme="minorHAnsi" w:hAnsiTheme="minorHAnsi" w:cstheme="minorBidi"/>
          <w:szCs w:val="22"/>
          <w:lang w:eastAsia="en-US"/>
        </w:rPr>
        <w:t>En línea con las sugerencias</w:t>
      </w:r>
      <w:r w:rsidR="00EE70DF">
        <w:rPr>
          <w:rFonts w:asciiTheme="minorHAnsi" w:eastAsiaTheme="minorHAnsi" w:hAnsiTheme="minorHAnsi" w:cstheme="minorBidi"/>
          <w:szCs w:val="22"/>
          <w:lang w:eastAsia="en-US"/>
        </w:rPr>
        <w:t xml:space="preserve"> del revisor</w:t>
      </w:r>
      <w:r w:rsidRPr="00522480">
        <w:rPr>
          <w:rFonts w:asciiTheme="minorHAnsi" w:eastAsiaTheme="minorHAnsi" w:hAnsiTheme="minorHAnsi" w:cstheme="minorBidi"/>
          <w:szCs w:val="22"/>
          <w:lang w:eastAsia="en-US"/>
        </w:rPr>
        <w:t>, para gara</w:t>
      </w:r>
      <w:r>
        <w:rPr>
          <w:rFonts w:asciiTheme="minorHAnsi" w:eastAsiaTheme="minorHAnsi" w:hAnsiTheme="minorHAnsi" w:cstheme="minorBidi"/>
          <w:szCs w:val="22"/>
          <w:lang w:eastAsia="en-US"/>
        </w:rPr>
        <w:t xml:space="preserve">ntizar una correcta comprensión, se </w:t>
      </w:r>
      <w:r w:rsidR="004D3D30">
        <w:rPr>
          <w:rFonts w:asciiTheme="minorHAnsi" w:eastAsiaTheme="minorHAnsi" w:hAnsiTheme="minorHAnsi" w:cstheme="minorBidi"/>
          <w:szCs w:val="22"/>
          <w:lang w:eastAsia="en-US"/>
        </w:rPr>
        <w:t xml:space="preserve">ha </w:t>
      </w:r>
      <w:r>
        <w:rPr>
          <w:rFonts w:asciiTheme="minorHAnsi" w:eastAsiaTheme="minorHAnsi" w:hAnsiTheme="minorHAnsi" w:cstheme="minorBidi"/>
          <w:szCs w:val="22"/>
          <w:lang w:eastAsia="en-US"/>
        </w:rPr>
        <w:t>estructur</w:t>
      </w:r>
      <w:r w:rsidR="004D3D30">
        <w:rPr>
          <w:rFonts w:asciiTheme="minorHAnsi" w:eastAsiaTheme="minorHAnsi" w:hAnsiTheme="minorHAnsi" w:cstheme="minorBidi"/>
          <w:szCs w:val="22"/>
          <w:lang w:eastAsia="en-US"/>
        </w:rPr>
        <w:t>ado</w:t>
      </w:r>
      <w:r>
        <w:rPr>
          <w:rFonts w:asciiTheme="minorHAnsi" w:eastAsiaTheme="minorHAnsi" w:hAnsiTheme="minorHAnsi" w:cstheme="minorBidi"/>
          <w:szCs w:val="22"/>
          <w:lang w:eastAsia="en-US"/>
        </w:rPr>
        <w:t xml:space="preserve"> el resumen con los apartados </w:t>
      </w:r>
      <w:r w:rsidR="005A0975">
        <w:rPr>
          <w:rFonts w:asciiTheme="minorHAnsi" w:eastAsiaTheme="minorHAnsi" w:hAnsiTheme="minorHAnsi" w:cstheme="minorBidi"/>
          <w:szCs w:val="22"/>
          <w:lang w:eastAsia="en-US"/>
        </w:rPr>
        <w:t xml:space="preserve">sugeridos, incluyendo los resultados del estudio y las conclusiones </w:t>
      </w:r>
      <w:proofErr w:type="gramStart"/>
      <w:r w:rsidR="005A0975">
        <w:rPr>
          <w:rFonts w:asciiTheme="minorHAnsi" w:eastAsiaTheme="minorHAnsi" w:hAnsiTheme="minorHAnsi" w:cstheme="minorBidi"/>
          <w:szCs w:val="22"/>
          <w:lang w:eastAsia="en-US"/>
        </w:rPr>
        <w:t>del mismo</w:t>
      </w:r>
      <w:proofErr w:type="gramEnd"/>
      <w:r w:rsidR="005A0975">
        <w:rPr>
          <w:rFonts w:asciiTheme="minorHAnsi" w:eastAsiaTheme="minorHAnsi" w:hAnsiTheme="minorHAnsi" w:cstheme="minorBidi"/>
          <w:szCs w:val="22"/>
          <w:lang w:eastAsia="en-US"/>
        </w:rPr>
        <w:t xml:space="preserve">. Se </w:t>
      </w:r>
      <w:r w:rsidR="004D3D30">
        <w:rPr>
          <w:rFonts w:asciiTheme="minorHAnsi" w:eastAsiaTheme="minorHAnsi" w:hAnsiTheme="minorHAnsi" w:cstheme="minorBidi"/>
          <w:szCs w:val="22"/>
          <w:lang w:eastAsia="en-US"/>
        </w:rPr>
        <w:t xml:space="preserve">ha </w:t>
      </w:r>
      <w:r w:rsidR="005A0975">
        <w:rPr>
          <w:rFonts w:asciiTheme="minorHAnsi" w:eastAsiaTheme="minorHAnsi" w:hAnsiTheme="minorHAnsi" w:cstheme="minorBidi"/>
          <w:szCs w:val="22"/>
          <w:lang w:eastAsia="en-US"/>
        </w:rPr>
        <w:t>modific</w:t>
      </w:r>
      <w:r w:rsidR="004D3D30">
        <w:rPr>
          <w:rFonts w:asciiTheme="minorHAnsi" w:eastAsiaTheme="minorHAnsi" w:hAnsiTheme="minorHAnsi" w:cstheme="minorBidi"/>
          <w:szCs w:val="22"/>
          <w:lang w:eastAsia="en-US"/>
        </w:rPr>
        <w:t>ado</w:t>
      </w:r>
      <w:r w:rsidR="005A0975">
        <w:rPr>
          <w:rFonts w:asciiTheme="minorHAnsi" w:eastAsiaTheme="minorHAnsi" w:hAnsiTheme="minorHAnsi" w:cstheme="minorBidi"/>
          <w:szCs w:val="22"/>
          <w:lang w:eastAsia="en-US"/>
        </w:rPr>
        <w:t xml:space="preserve"> el orden de las palabras clave, situando en primer lugar los términos “</w:t>
      </w:r>
      <w:r w:rsidR="005A0975" w:rsidRPr="005A0975">
        <w:rPr>
          <w:rFonts w:asciiTheme="minorHAnsi" w:eastAsiaTheme="minorHAnsi" w:hAnsiTheme="minorHAnsi" w:cstheme="minorBidi"/>
          <w:szCs w:val="22"/>
          <w:lang w:eastAsia="en-US"/>
        </w:rPr>
        <w:t>Trastorno</w:t>
      </w:r>
      <w:r w:rsidR="005A0975">
        <w:rPr>
          <w:rFonts w:asciiTheme="minorHAnsi" w:eastAsiaTheme="minorHAnsi" w:hAnsiTheme="minorHAnsi" w:cstheme="minorBidi"/>
          <w:szCs w:val="22"/>
          <w:lang w:eastAsia="en-US"/>
        </w:rPr>
        <w:t xml:space="preserve"> por consumo de opiáceos” y “</w:t>
      </w:r>
      <w:r w:rsidR="005A0975" w:rsidRPr="005A0975">
        <w:rPr>
          <w:rFonts w:asciiTheme="minorHAnsi" w:eastAsiaTheme="minorHAnsi" w:hAnsiTheme="minorHAnsi" w:cstheme="minorBidi"/>
          <w:szCs w:val="22"/>
          <w:lang w:eastAsia="en-US"/>
        </w:rPr>
        <w:t>Programas de tratamiento de sustitución de opiáceos</w:t>
      </w:r>
      <w:r w:rsidR="005A0975">
        <w:rPr>
          <w:rFonts w:asciiTheme="minorHAnsi" w:eastAsiaTheme="minorHAnsi" w:hAnsiTheme="minorHAnsi" w:cstheme="minorBidi"/>
          <w:szCs w:val="22"/>
          <w:lang w:eastAsia="en-US"/>
        </w:rPr>
        <w:t>” y posteriormente el término</w:t>
      </w:r>
      <w:r w:rsidR="005A0975" w:rsidRPr="005A0975">
        <w:rPr>
          <w:rFonts w:asciiTheme="minorHAnsi" w:eastAsiaTheme="minorHAnsi" w:hAnsiTheme="minorHAnsi" w:cstheme="minorBidi"/>
          <w:szCs w:val="22"/>
          <w:lang w:eastAsia="en-US"/>
        </w:rPr>
        <w:t xml:space="preserve"> </w:t>
      </w:r>
      <w:r w:rsidR="005A0975">
        <w:rPr>
          <w:rFonts w:asciiTheme="minorHAnsi" w:eastAsiaTheme="minorHAnsi" w:hAnsiTheme="minorHAnsi" w:cstheme="minorBidi"/>
          <w:szCs w:val="22"/>
          <w:lang w:eastAsia="en-US"/>
        </w:rPr>
        <w:t>“</w:t>
      </w:r>
      <w:r w:rsidR="005A0975" w:rsidRPr="005A0975">
        <w:rPr>
          <w:rFonts w:asciiTheme="minorHAnsi" w:eastAsiaTheme="minorHAnsi" w:hAnsiTheme="minorHAnsi" w:cstheme="minorBidi"/>
          <w:szCs w:val="22"/>
          <w:lang w:eastAsia="en-US"/>
        </w:rPr>
        <w:t>Análisis de decisión multicriterio</w:t>
      </w:r>
      <w:r w:rsidR="005A0975">
        <w:rPr>
          <w:rFonts w:asciiTheme="minorHAnsi" w:eastAsiaTheme="minorHAnsi" w:hAnsiTheme="minorHAnsi" w:cstheme="minorBidi"/>
          <w:szCs w:val="22"/>
          <w:lang w:eastAsia="en-US"/>
        </w:rPr>
        <w:t>”.</w:t>
      </w:r>
    </w:p>
    <w:p w14:paraId="7D355DAD" w14:textId="77777777" w:rsidR="00522480" w:rsidRDefault="005A0975" w:rsidP="00522480">
      <w:pPr>
        <w:spacing w:line="360" w:lineRule="auto"/>
        <w:jc w:val="both"/>
        <w:rPr>
          <w:b/>
        </w:rPr>
      </w:pPr>
      <w:r w:rsidRPr="005A0975">
        <w:rPr>
          <w:b/>
        </w:rPr>
        <w:t xml:space="preserve">Las fases </w:t>
      </w:r>
      <w:r w:rsidR="00E01F43" w:rsidRPr="005A0975">
        <w:rPr>
          <w:b/>
        </w:rPr>
        <w:t>convendrían</w:t>
      </w:r>
      <w:r w:rsidRPr="005A0975">
        <w:rPr>
          <w:b/>
        </w:rPr>
        <w:t xml:space="preserve"> ponerlas en número y traducir el término </w:t>
      </w:r>
      <w:r>
        <w:rPr>
          <w:b/>
        </w:rPr>
        <w:t>“</w:t>
      </w:r>
      <w:r w:rsidRPr="005A0975">
        <w:rPr>
          <w:b/>
        </w:rPr>
        <w:t>di</w:t>
      </w:r>
      <w:r w:rsidR="00F82EBF">
        <w:rPr>
          <w:b/>
        </w:rPr>
        <w:t>s</w:t>
      </w:r>
      <w:r w:rsidRPr="005A0975">
        <w:rPr>
          <w:b/>
        </w:rPr>
        <w:t xml:space="preserve">crete choice </w:t>
      </w:r>
      <w:r w:rsidR="00F82EBF">
        <w:rPr>
          <w:b/>
        </w:rPr>
        <w:t xml:space="preserve">experiment” </w:t>
      </w:r>
      <w:r w:rsidRPr="005A0975">
        <w:rPr>
          <w:b/>
        </w:rPr>
        <w:t>al español. ¿El término funcionalidad se usa en lugar de funcionamiento, más apropiado?</w:t>
      </w:r>
    </w:p>
    <w:p w14:paraId="0357B7ED" w14:textId="77777777" w:rsidR="00F82EBF" w:rsidRDefault="00F82EBF" w:rsidP="00F82EBF">
      <w:pPr>
        <w:spacing w:line="360" w:lineRule="auto"/>
        <w:ind w:left="567"/>
        <w:jc w:val="both"/>
      </w:pPr>
      <w:r w:rsidRPr="00F82EBF">
        <w:t xml:space="preserve">Tal y como sugiere el revisor, las fases se </w:t>
      </w:r>
      <w:r w:rsidR="004D3D30">
        <w:t>han denominado</w:t>
      </w:r>
      <w:r w:rsidRPr="00F82EBF">
        <w:t xml:space="preserve"> con números algebraicos (1, 2 y 3), </w:t>
      </w:r>
      <w:r w:rsidR="00C06AE5">
        <w:t>se ha traducido</w:t>
      </w:r>
      <w:r w:rsidRPr="00F82EBF">
        <w:t xml:space="preserve"> el término “discrete choice experiment” por “experimento de elecciones discretas” y </w:t>
      </w:r>
      <w:r w:rsidR="00C06AE5">
        <w:t xml:space="preserve">se </w:t>
      </w:r>
      <w:r w:rsidR="004D3D30">
        <w:t>ha sustituido</w:t>
      </w:r>
      <w:r w:rsidRPr="00F82EBF">
        <w:t xml:space="preserve"> el </w:t>
      </w:r>
      <w:r w:rsidR="00FD389E" w:rsidRPr="00F82EBF">
        <w:t>término</w:t>
      </w:r>
      <w:r w:rsidRPr="00F82EBF">
        <w:t xml:space="preserve"> </w:t>
      </w:r>
      <w:r w:rsidR="00E01F43">
        <w:t>“</w:t>
      </w:r>
      <w:r w:rsidRPr="00F82EBF">
        <w:t>funcionalidad social</w:t>
      </w:r>
      <w:r w:rsidR="00E01F43">
        <w:t>”</w:t>
      </w:r>
      <w:r w:rsidRPr="00F82EBF">
        <w:t xml:space="preserve"> por </w:t>
      </w:r>
      <w:r w:rsidR="00E01F43">
        <w:t>“</w:t>
      </w:r>
      <w:r w:rsidRPr="00F82EBF">
        <w:t>funcionamiento social</w:t>
      </w:r>
      <w:r w:rsidR="00E01F43">
        <w:t>”</w:t>
      </w:r>
      <w:r w:rsidRPr="00F82EBF">
        <w:t xml:space="preserve"> en todo el texto.</w:t>
      </w:r>
    </w:p>
    <w:p w14:paraId="5737BF29" w14:textId="77777777" w:rsidR="00E01F43" w:rsidRDefault="00E01F43" w:rsidP="00F82EBF">
      <w:pPr>
        <w:spacing w:line="360" w:lineRule="auto"/>
        <w:ind w:left="567"/>
        <w:jc w:val="both"/>
      </w:pPr>
    </w:p>
    <w:p w14:paraId="10AD6D5A" w14:textId="77777777" w:rsidR="00E01F43" w:rsidRPr="00E01F43" w:rsidRDefault="00E01F43" w:rsidP="00E01F43">
      <w:pPr>
        <w:spacing w:line="360" w:lineRule="auto"/>
        <w:jc w:val="both"/>
        <w:rPr>
          <w:b/>
        </w:rPr>
      </w:pPr>
      <w:r w:rsidRPr="00E01F43">
        <w:rPr>
          <w:b/>
        </w:rPr>
        <w:t>INTRODUCCIÓN</w:t>
      </w:r>
    </w:p>
    <w:p w14:paraId="6848C6EC" w14:textId="77777777" w:rsidR="00E01F43" w:rsidRDefault="00E01F43" w:rsidP="00E01F43">
      <w:pPr>
        <w:spacing w:line="360" w:lineRule="auto"/>
        <w:jc w:val="both"/>
        <w:rPr>
          <w:b/>
        </w:rPr>
      </w:pPr>
      <w:r w:rsidRPr="00FD389E">
        <w:rPr>
          <w:b/>
        </w:rPr>
        <w:t>Faltan comas en las referencias y resumir con “</w:t>
      </w:r>
      <w:r w:rsidR="00FD389E">
        <w:rPr>
          <w:b/>
        </w:rPr>
        <w:t>autor et al.”</w:t>
      </w:r>
      <w:r w:rsidRPr="00FD389E">
        <w:rPr>
          <w:b/>
        </w:rPr>
        <w:t xml:space="preserve"> en las referencias con varios autores</w:t>
      </w:r>
    </w:p>
    <w:p w14:paraId="4B043289" w14:textId="77777777" w:rsidR="00FE03B5" w:rsidRDefault="00B16F12" w:rsidP="00FE03B5">
      <w:pPr>
        <w:spacing w:line="360" w:lineRule="auto"/>
        <w:ind w:left="567"/>
        <w:jc w:val="both"/>
      </w:pPr>
      <w:r w:rsidRPr="002147CF">
        <w:t xml:space="preserve">Se ha adaptado el manuscrito a los requisitos de la revista Adicciones, con las normas de publicación de la </w:t>
      </w:r>
      <w:r w:rsidRPr="004D3D30">
        <w:rPr>
          <w:i/>
        </w:rPr>
        <w:t>American Psychological Association</w:t>
      </w:r>
      <w:r w:rsidR="004D3D30">
        <w:t xml:space="preserve"> </w:t>
      </w:r>
      <w:r w:rsidRPr="002147CF">
        <w:t xml:space="preserve">(APA) 6ª </w:t>
      </w:r>
      <w:r w:rsidR="002147CF" w:rsidRPr="002147CF">
        <w:t>edición</w:t>
      </w:r>
      <w:r w:rsidR="002147CF">
        <w:t>, 2010.</w:t>
      </w:r>
    </w:p>
    <w:p w14:paraId="7B1393B3" w14:textId="77777777" w:rsidR="002147CF" w:rsidRDefault="002147CF" w:rsidP="002147CF">
      <w:pPr>
        <w:spacing w:line="360" w:lineRule="auto"/>
        <w:jc w:val="both"/>
        <w:rPr>
          <w:b/>
        </w:rPr>
      </w:pPr>
      <w:r w:rsidRPr="008E31CB">
        <w:rPr>
          <w:b/>
        </w:rPr>
        <w:t>Se echan en falta referencias “clásicas”</w:t>
      </w:r>
      <w:r w:rsidR="008E31CB" w:rsidRPr="008E31CB">
        <w:rPr>
          <w:b/>
        </w:rPr>
        <w:t xml:space="preserve">, por </w:t>
      </w:r>
      <w:proofErr w:type="gramStart"/>
      <w:r w:rsidR="008E31CB" w:rsidRPr="008E31CB">
        <w:rPr>
          <w:b/>
        </w:rPr>
        <w:t>ejemplo</w:t>
      </w:r>
      <w:proofErr w:type="gramEnd"/>
      <w:r w:rsidR="008E31CB" w:rsidRPr="008E31CB">
        <w:rPr>
          <w:b/>
        </w:rPr>
        <w:t xml:space="preserve"> de revisión de evaluación de resultados de los </w:t>
      </w:r>
      <w:r w:rsidR="008D5A12" w:rsidRPr="008E31CB">
        <w:rPr>
          <w:b/>
        </w:rPr>
        <w:t>programas</w:t>
      </w:r>
      <w:r w:rsidR="008E31CB" w:rsidRPr="008E31CB">
        <w:rPr>
          <w:b/>
        </w:rPr>
        <w:t xml:space="preserve"> con </w:t>
      </w:r>
      <w:r w:rsidR="008D5A12" w:rsidRPr="008E31CB">
        <w:rPr>
          <w:b/>
        </w:rPr>
        <w:t>su sustitutivos</w:t>
      </w:r>
      <w:r w:rsidR="008E31CB" w:rsidRPr="008E31CB">
        <w:rPr>
          <w:b/>
        </w:rPr>
        <w:t xml:space="preserve"> (Fernández Miranda 2001; Torrens y Fonseca, 2009) y de sus resultados en cuanto a uso de drogas, (Fernández Miranda, 2001; Jimenez-Treviño et al., 2011) y también de y sus indicadores en otros </w:t>
      </w:r>
      <w:r w:rsidR="008D5A12" w:rsidRPr="008E31CB">
        <w:rPr>
          <w:b/>
        </w:rPr>
        <w:t>textos</w:t>
      </w:r>
      <w:r w:rsidR="008E31CB" w:rsidRPr="008E31CB">
        <w:rPr>
          <w:b/>
        </w:rPr>
        <w:t xml:space="preserve"> (NICE 2007).</w:t>
      </w:r>
    </w:p>
    <w:p w14:paraId="39162361" w14:textId="77777777" w:rsidR="008D5A12" w:rsidRDefault="008D5A12" w:rsidP="008D5A12">
      <w:pPr>
        <w:spacing w:line="360" w:lineRule="auto"/>
        <w:ind w:left="567"/>
        <w:jc w:val="both"/>
      </w:pPr>
      <w:r>
        <w:t>Los autores coincid</w:t>
      </w:r>
      <w:r w:rsidR="00260FD2">
        <w:t>en</w:t>
      </w:r>
      <w:r>
        <w:t xml:space="preserve"> con el revisor en que la inclusión de estas citas </w:t>
      </w:r>
      <w:r w:rsidR="004D3D30">
        <w:t>ayudaría</w:t>
      </w:r>
      <w:r>
        <w:t xml:space="preserve"> a crear un precedente </w:t>
      </w:r>
      <w:r w:rsidR="00B06661">
        <w:t xml:space="preserve">más claro </w:t>
      </w:r>
      <w:r>
        <w:t xml:space="preserve">y a situar mejor </w:t>
      </w:r>
      <w:r w:rsidR="00B06661">
        <w:t>el contexto del artículo. Por ello</w:t>
      </w:r>
      <w:r w:rsidR="004D3D30">
        <w:t>,</w:t>
      </w:r>
      <w:r w:rsidR="00B06661">
        <w:t xml:space="preserve"> se </w:t>
      </w:r>
      <w:r w:rsidR="004D3D30">
        <w:t>han incluido</w:t>
      </w:r>
      <w:r w:rsidR="00B06661">
        <w:t xml:space="preserve"> las </w:t>
      </w:r>
      <w:r w:rsidR="00B06661">
        <w:lastRenderedPageBreak/>
        <w:t xml:space="preserve">citas de: </w:t>
      </w:r>
      <w:r w:rsidR="00330A51">
        <w:t>Fernández-</w:t>
      </w:r>
      <w:r w:rsidR="00330A51" w:rsidRPr="00B06661">
        <w:t>Miranda, 2001</w:t>
      </w:r>
      <w:r w:rsidR="00330A51">
        <w:t xml:space="preserve">; </w:t>
      </w:r>
      <w:r w:rsidR="00001B35" w:rsidRPr="00001B35">
        <w:t>Gedeon et al., 2019</w:t>
      </w:r>
      <w:r w:rsidR="00001B35">
        <w:t xml:space="preserve">; </w:t>
      </w:r>
      <w:r w:rsidR="00330A51">
        <w:t>Jiménez-</w:t>
      </w:r>
      <w:r w:rsidR="00330A51" w:rsidRPr="00B06661">
        <w:t>Treviño et al., 2011</w:t>
      </w:r>
      <w:r w:rsidR="00330A51">
        <w:t xml:space="preserve">; </w:t>
      </w:r>
      <w:r w:rsidR="00B06661" w:rsidRPr="00B06661">
        <w:t>Pilling, Strang, Gerada y NICE, 2007</w:t>
      </w:r>
      <w:r w:rsidR="00330A51">
        <w:t>.</w:t>
      </w:r>
    </w:p>
    <w:p w14:paraId="215802B4" w14:textId="77777777" w:rsidR="00330A51" w:rsidRDefault="00132DDC" w:rsidP="00132DDC">
      <w:pPr>
        <w:spacing w:line="360" w:lineRule="auto"/>
        <w:jc w:val="both"/>
        <w:rPr>
          <w:b/>
        </w:rPr>
      </w:pPr>
      <w:r>
        <w:rPr>
          <w:b/>
        </w:rPr>
        <w:t>En la última línea más que facilitar desde el punto de vista clínico parecería ser desde el punto de vista de la gestión clínica.</w:t>
      </w:r>
    </w:p>
    <w:p w14:paraId="486C6B49" w14:textId="77777777" w:rsidR="00132DDC" w:rsidRDefault="00132DDC" w:rsidP="00132DDC">
      <w:pPr>
        <w:spacing w:line="360" w:lineRule="auto"/>
        <w:ind w:left="567"/>
        <w:jc w:val="both"/>
      </w:pPr>
      <w:r w:rsidRPr="00132DDC">
        <w:t>Tal y como sugiere el revisor, se ha procedido a modificar</w:t>
      </w:r>
      <w:r>
        <w:t xml:space="preserve"> este término.</w:t>
      </w:r>
    </w:p>
    <w:p w14:paraId="025CBCB2" w14:textId="77777777" w:rsidR="00132DDC" w:rsidRDefault="00132DDC" w:rsidP="00132DDC">
      <w:pPr>
        <w:spacing w:line="360" w:lineRule="auto"/>
        <w:jc w:val="both"/>
      </w:pPr>
    </w:p>
    <w:p w14:paraId="3ABF9EBA" w14:textId="77777777" w:rsidR="00132DDC" w:rsidRPr="00DF0E53" w:rsidRDefault="00132DDC" w:rsidP="00132DDC">
      <w:pPr>
        <w:spacing w:line="360" w:lineRule="auto"/>
        <w:jc w:val="both"/>
        <w:rPr>
          <w:b/>
        </w:rPr>
      </w:pPr>
      <w:r w:rsidRPr="00DF0E53">
        <w:rPr>
          <w:b/>
        </w:rPr>
        <w:t>MÉTODO</w:t>
      </w:r>
    </w:p>
    <w:p w14:paraId="643929E6" w14:textId="77777777" w:rsidR="00132DDC" w:rsidRPr="00DF0E53" w:rsidRDefault="00DF0E53" w:rsidP="00132DDC">
      <w:pPr>
        <w:spacing w:line="360" w:lineRule="auto"/>
        <w:jc w:val="both"/>
        <w:rPr>
          <w:b/>
        </w:rPr>
      </w:pPr>
      <w:r w:rsidRPr="00DF0E53">
        <w:rPr>
          <w:b/>
        </w:rPr>
        <w:t>No se explica por qué se utilizan criterios diagnósticos DSM V y no CIE-10 cuando además se utiliza la WHO-DAS de la OMS.</w:t>
      </w:r>
    </w:p>
    <w:p w14:paraId="000955B8" w14:textId="77777777" w:rsidR="00DF0E53" w:rsidRDefault="0055568B" w:rsidP="00DF0E53">
      <w:pPr>
        <w:spacing w:line="360" w:lineRule="auto"/>
        <w:ind w:left="567"/>
        <w:jc w:val="both"/>
      </w:pPr>
      <w:r>
        <w:t xml:space="preserve">Aunque conocedores de la controversia por sus cambios e inclusiones con respecto a la versión previa (DSM IV), los autores </w:t>
      </w:r>
      <w:r w:rsidR="0002520A">
        <w:t>han considerado</w:t>
      </w:r>
      <w:r>
        <w:t xml:space="preserve"> que la utilización del DSM V </w:t>
      </w:r>
      <w:r w:rsidR="009165E7">
        <w:t>es un elemento fundamental de diagnóstico psiquiátrico</w:t>
      </w:r>
      <w:r w:rsidR="00814AFB">
        <w:t>, al ser el método de diagnóstico más</w:t>
      </w:r>
      <w:r w:rsidR="009165E7">
        <w:t xml:space="preserve"> ampliamente ex</w:t>
      </w:r>
      <w:r w:rsidR="00BD0268">
        <w:t xml:space="preserve">tendido en la práctica clínica. Adicionalmente, la </w:t>
      </w:r>
      <w:r w:rsidR="002023ED">
        <w:t xml:space="preserve">futura </w:t>
      </w:r>
      <w:r w:rsidR="00BD0268">
        <w:t xml:space="preserve">transición </w:t>
      </w:r>
      <w:r w:rsidR="0002520A">
        <w:t>de</w:t>
      </w:r>
      <w:r w:rsidR="00BD0268">
        <w:t xml:space="preserve"> la</w:t>
      </w:r>
      <w:r w:rsidR="00814AFB">
        <w:t xml:space="preserve"> versi</w:t>
      </w:r>
      <w:r w:rsidR="0002520A">
        <w:t>ón</w:t>
      </w:r>
      <w:r w:rsidR="00814AFB">
        <w:t xml:space="preserve"> CIE-10 a la CIE-11 </w:t>
      </w:r>
      <w:r w:rsidR="002023ED">
        <w:t xml:space="preserve">fue un </w:t>
      </w:r>
      <w:r w:rsidR="0002520A">
        <w:t>elemento</w:t>
      </w:r>
      <w:r w:rsidR="009866A0">
        <w:t xml:space="preserve"> que contribuyo a la decisión de</w:t>
      </w:r>
      <w:r w:rsidR="002023ED">
        <w:t xml:space="preserve"> elección del modelo DSM V.</w:t>
      </w:r>
    </w:p>
    <w:p w14:paraId="012A1C4F" w14:textId="77777777" w:rsidR="00552A83" w:rsidRDefault="00552A83" w:rsidP="00552A83">
      <w:pPr>
        <w:spacing w:line="360" w:lineRule="auto"/>
        <w:jc w:val="both"/>
        <w:rPr>
          <w:b/>
        </w:rPr>
      </w:pPr>
      <w:r w:rsidRPr="00552A83">
        <w:rPr>
          <w:b/>
        </w:rPr>
        <w:t>La conducta hostil o violenta podría complementarse y valorarse mejor considerando problemas legales (estancia en prisión, juicios, condenas...)</w:t>
      </w:r>
      <w:r w:rsidR="006B054A">
        <w:rPr>
          <w:b/>
        </w:rPr>
        <w:t>. Se echa en falta que no se consideren variables objetivas de “funcionamiento social” (convivencia, estado civil, hijos, etc)</w:t>
      </w:r>
    </w:p>
    <w:p w14:paraId="478CB979" w14:textId="06607429" w:rsidR="003664C8" w:rsidRDefault="00BF7D27" w:rsidP="00D8331C">
      <w:pPr>
        <w:spacing w:line="360" w:lineRule="auto"/>
        <w:ind w:left="567"/>
        <w:jc w:val="both"/>
      </w:pPr>
      <w:r>
        <w:t>Los autores coinciden</w:t>
      </w:r>
      <w:r w:rsidR="006018BC" w:rsidRPr="006018BC">
        <w:t xml:space="preserve"> con el revisor en que </w:t>
      </w:r>
      <w:r w:rsidR="006018BC">
        <w:t xml:space="preserve">las variables anteriormente mencionadas son de </w:t>
      </w:r>
      <w:r w:rsidR="00D8331C">
        <w:t xml:space="preserve">gran </w:t>
      </w:r>
      <w:r w:rsidR="006018BC">
        <w:t>relevancia</w:t>
      </w:r>
      <w:r w:rsidR="00C6066A">
        <w:t xml:space="preserve"> y podrían haber sido consideradas</w:t>
      </w:r>
      <w:r w:rsidR="006018BC" w:rsidRPr="006018BC">
        <w:t>, pero el objetivo del manuscrito e</w:t>
      </w:r>
      <w:r w:rsidR="0002520A">
        <w:t>ra</w:t>
      </w:r>
      <w:r w:rsidR="006018BC" w:rsidRPr="006018BC">
        <w:t xml:space="preserve"> identificar </w:t>
      </w:r>
      <w:r w:rsidR="0002520A">
        <w:t>l</w:t>
      </w:r>
      <w:r w:rsidR="006018BC" w:rsidRPr="006018BC">
        <w:t xml:space="preserve">as </w:t>
      </w:r>
      <w:r w:rsidR="006018BC">
        <w:t xml:space="preserve">medidas de resultados en salud más importantes en </w:t>
      </w:r>
      <w:r w:rsidR="006125C3">
        <w:t xml:space="preserve">el </w:t>
      </w:r>
      <w:r w:rsidR="006018BC">
        <w:t>trastorno por consumo de opiáceos</w:t>
      </w:r>
      <w:r w:rsidR="0002520A">
        <w:t xml:space="preserve">, </w:t>
      </w:r>
      <w:r w:rsidR="00D8331C">
        <w:t xml:space="preserve">en este caso, la reducción de la frecuencia de este tipo de conductas, </w:t>
      </w:r>
      <w:r w:rsidR="0002520A">
        <w:t xml:space="preserve">no tanto cómo se mediría dicha medida de resultados. En este sentido, </w:t>
      </w:r>
      <w:r w:rsidR="00D8331C">
        <w:t>se plantea que sea el propio clínico el que valore esta reducción de la frecuencia de estas conductas</w:t>
      </w:r>
      <w:r w:rsidR="00963B81">
        <w:t>, con los instrumentos que consideré más apropiados</w:t>
      </w:r>
      <w:r w:rsidR="003664C8">
        <w:t>.</w:t>
      </w:r>
    </w:p>
    <w:p w14:paraId="7CB435FB" w14:textId="77777777" w:rsidR="003664C8" w:rsidRDefault="003664C8">
      <w:pPr>
        <w:spacing w:after="160" w:line="259" w:lineRule="auto"/>
      </w:pPr>
      <w:r>
        <w:br w:type="page"/>
      </w:r>
    </w:p>
    <w:p w14:paraId="2887D758" w14:textId="77777777" w:rsidR="00934670" w:rsidRDefault="00934670" w:rsidP="00552A83">
      <w:pPr>
        <w:spacing w:line="360" w:lineRule="auto"/>
        <w:jc w:val="both"/>
        <w:rPr>
          <w:b/>
        </w:rPr>
      </w:pPr>
      <w:r>
        <w:rPr>
          <w:b/>
        </w:rPr>
        <w:lastRenderedPageBreak/>
        <w:t>No se explica cómo se mide la mejoría en el manejo de enfermedades infecciosas ni cómo se objetiva y mide la conducta hostil y violenta.</w:t>
      </w:r>
    </w:p>
    <w:p w14:paraId="7E5D19DD" w14:textId="77777777" w:rsidR="00934670" w:rsidRDefault="00934670" w:rsidP="00934670">
      <w:pPr>
        <w:spacing w:line="360" w:lineRule="auto"/>
        <w:ind w:left="567"/>
        <w:jc w:val="both"/>
      </w:pPr>
      <w:r w:rsidRPr="002A45CE">
        <w:t xml:space="preserve">El concepto de mejoría en el manejo de enfermedades infecciosas, tales como hepatitis víricas y VIH/SIDA, </w:t>
      </w:r>
      <w:r w:rsidR="002A45CE" w:rsidRPr="002A45CE">
        <w:t>es</w:t>
      </w:r>
      <w:r w:rsidR="00271FAB">
        <w:t xml:space="preserve"> inherente</w:t>
      </w:r>
      <w:r w:rsidRPr="002A45CE">
        <w:t xml:space="preserve"> a </w:t>
      </w:r>
      <w:r w:rsidRPr="001E2423">
        <w:t>dichas enfermedades (</w:t>
      </w:r>
      <w:r w:rsidR="00271FAB" w:rsidRPr="001E2423">
        <w:t>r</w:t>
      </w:r>
      <w:r w:rsidR="002A45CE" w:rsidRPr="001E2423">
        <w:t xml:space="preserve">espuesta virológica sostenida, </w:t>
      </w:r>
      <w:r w:rsidR="001E2423" w:rsidRPr="001E2423">
        <w:t xml:space="preserve">disminución de la replicación o carga viral, </w:t>
      </w:r>
      <w:r w:rsidR="00963B81" w:rsidRPr="001E2423">
        <w:t>recuento de células</w:t>
      </w:r>
      <w:r w:rsidR="001E2423" w:rsidRPr="001E2423">
        <w:t xml:space="preserve"> </w:t>
      </w:r>
      <w:r w:rsidR="00963B81" w:rsidRPr="001E2423">
        <w:t>CD4</w:t>
      </w:r>
      <w:r w:rsidR="002A45CE" w:rsidRPr="002A45CE">
        <w:t>). El objetivo del propuesto análisis no es definir cómo medir los resultados en salud en estas patologías, sino determinar la importancia de evaluar esa</w:t>
      </w:r>
      <w:r w:rsidR="001E2423">
        <w:t>s</w:t>
      </w:r>
      <w:r w:rsidR="002A45CE" w:rsidRPr="002A45CE">
        <w:t xml:space="preserve"> enfermedad</w:t>
      </w:r>
      <w:r w:rsidR="001E2423">
        <w:t>es</w:t>
      </w:r>
      <w:r w:rsidR="002A45CE" w:rsidRPr="002A45CE">
        <w:t xml:space="preserve"> utilizando las medidas de resultados en salud relevantes en el momento de la evaluación de</w:t>
      </w:r>
      <w:r w:rsidR="00271FAB">
        <w:t>l estado de salud del paciente</w:t>
      </w:r>
      <w:r w:rsidR="002A45CE" w:rsidRPr="002A45CE">
        <w:t>. Este concepto es aplicable también a la valoración de la conducta hostil y violenta</w:t>
      </w:r>
      <w:r w:rsidR="001E2423">
        <w:t>, comentado anteriormente</w:t>
      </w:r>
      <w:r w:rsidR="002A45CE" w:rsidRPr="002A45CE">
        <w:t xml:space="preserve">. </w:t>
      </w:r>
    </w:p>
    <w:p w14:paraId="54B63DC0" w14:textId="77777777" w:rsidR="002A45CE" w:rsidRDefault="00496DB3" w:rsidP="002A45CE">
      <w:pPr>
        <w:spacing w:line="360" w:lineRule="auto"/>
        <w:jc w:val="both"/>
        <w:rPr>
          <w:b/>
        </w:rPr>
      </w:pPr>
      <w:r w:rsidRPr="00AB1774">
        <w:rPr>
          <w:b/>
        </w:rPr>
        <w:t xml:space="preserve">La escala utilizada para medir la </w:t>
      </w:r>
      <w:r w:rsidR="00F821AC" w:rsidRPr="00AB1774">
        <w:rPr>
          <w:b/>
        </w:rPr>
        <w:t>memoria</w:t>
      </w:r>
      <w:r w:rsidRPr="00AB1774">
        <w:rPr>
          <w:b/>
        </w:rPr>
        <w:t xml:space="preserve"> de la funcionalidad social (EAS de Duke) no se explica por qué ha sido elegida, cuando es </w:t>
      </w:r>
      <w:proofErr w:type="gramStart"/>
      <w:r w:rsidRPr="00AB1774">
        <w:rPr>
          <w:b/>
        </w:rPr>
        <w:t>poco actual y poco utilizada</w:t>
      </w:r>
      <w:proofErr w:type="gramEnd"/>
      <w:r w:rsidRPr="00AB1774">
        <w:rPr>
          <w:b/>
        </w:rPr>
        <w:t xml:space="preserve"> y existen otras más actuales, utilizadas y validadas en España. </w:t>
      </w:r>
      <w:r w:rsidR="00AB1774" w:rsidRPr="00AB1774">
        <w:rPr>
          <w:b/>
        </w:rPr>
        <w:t xml:space="preserve">Se echa en falta que no se consideren variables objetivas de funcionalidad social (convivencia, estado civil, hijos, etc.) </w:t>
      </w:r>
    </w:p>
    <w:p w14:paraId="6E6BE25D" w14:textId="77777777" w:rsidR="00F821AC" w:rsidRDefault="001E2423" w:rsidP="00F821AC">
      <w:pPr>
        <w:spacing w:line="360" w:lineRule="auto"/>
        <w:ind w:left="567"/>
        <w:jc w:val="both"/>
      </w:pPr>
      <w:r>
        <w:t>Conocedores de</w:t>
      </w:r>
      <w:r w:rsidR="00204BF8" w:rsidRPr="00881B53">
        <w:t xml:space="preserve"> que actualmente existen varias herramientas para la medida de la funcionalidad social, y sin entrar en controversia con la opinión de</w:t>
      </w:r>
      <w:r w:rsidR="00881B53" w:rsidRPr="00881B53">
        <w:t xml:space="preserve">l revisor, los autores </w:t>
      </w:r>
      <w:r>
        <w:t>eligieron</w:t>
      </w:r>
      <w:r w:rsidR="00204BF8" w:rsidRPr="00881B53">
        <w:t xml:space="preserve"> </w:t>
      </w:r>
      <w:r w:rsidR="00881B53" w:rsidRPr="00881B53">
        <w:t xml:space="preserve">la escala de </w:t>
      </w:r>
      <w:r w:rsidR="00945BBD">
        <w:t xml:space="preserve">Duke-UNC como una herramienta </w:t>
      </w:r>
      <w:r w:rsidR="00271FAB" w:rsidRPr="00271FAB">
        <w:t>aceptable, consistente, válida y precisa</w:t>
      </w:r>
      <w:r w:rsidR="00945BBD">
        <w:t xml:space="preserve"> para la evaluación de la funcionalidad social debido a que se trata de un cuestionario sencill</w:t>
      </w:r>
      <w:r w:rsidR="009B6D95">
        <w:t>o, breve y validado en español.</w:t>
      </w:r>
      <w:r w:rsidR="00271FAB">
        <w:t xml:space="preserve"> </w:t>
      </w:r>
      <w:r>
        <w:t>Siguiendo los comentarios del revisor, se han añadido</w:t>
      </w:r>
      <w:r w:rsidR="00F841E1">
        <w:t xml:space="preserve"> </w:t>
      </w:r>
      <w:r w:rsidR="00D17D8A">
        <w:t>referencias</w:t>
      </w:r>
      <w:r w:rsidR="00F841E1">
        <w:t xml:space="preserve"> más recientes relativas a la utilización de esta escala: </w:t>
      </w:r>
      <w:r w:rsidR="00F841E1" w:rsidRPr="00F841E1">
        <w:t>Ayala et al., 2012</w:t>
      </w:r>
      <w:r w:rsidR="00F841E1">
        <w:t>.</w:t>
      </w:r>
    </w:p>
    <w:p w14:paraId="3BD7EE0A" w14:textId="77777777" w:rsidR="00E34B4B" w:rsidRDefault="00E34B4B" w:rsidP="00F821AC">
      <w:pPr>
        <w:spacing w:line="360" w:lineRule="auto"/>
        <w:ind w:left="567"/>
        <w:jc w:val="both"/>
      </w:pPr>
    </w:p>
    <w:p w14:paraId="65D3D0F8" w14:textId="77777777" w:rsidR="00594751" w:rsidRPr="00594751" w:rsidRDefault="00594751" w:rsidP="00594751">
      <w:pPr>
        <w:spacing w:line="360" w:lineRule="auto"/>
        <w:jc w:val="both"/>
        <w:rPr>
          <w:b/>
        </w:rPr>
      </w:pPr>
      <w:r w:rsidRPr="00594751">
        <w:rPr>
          <w:b/>
        </w:rPr>
        <w:t>RESULTADOS</w:t>
      </w:r>
    </w:p>
    <w:p w14:paraId="0A04A40C" w14:textId="77777777" w:rsidR="00E34B4B" w:rsidRDefault="00FC07F4" w:rsidP="00594751">
      <w:pPr>
        <w:spacing w:line="360" w:lineRule="auto"/>
        <w:jc w:val="both"/>
        <w:rPr>
          <w:b/>
        </w:rPr>
      </w:pPr>
      <w:r w:rsidRPr="00E34B4B">
        <w:rPr>
          <w:b/>
        </w:rPr>
        <w:t xml:space="preserve">En el apartado “Características de los pacientes” hay que quitar las negritas y en la primera fase sustituir </w:t>
      </w:r>
      <w:r w:rsidR="00E34B4B" w:rsidRPr="00E34B4B">
        <w:rPr>
          <w:b/>
        </w:rPr>
        <w:t>i por y. En el apartado “Ponderación de criterios” hay que mejorar los signos de puntuación y “Figura 2” está</w:t>
      </w:r>
      <w:r w:rsidR="00E34B4B">
        <w:rPr>
          <w:b/>
        </w:rPr>
        <w:t xml:space="preserve"> repetido.</w:t>
      </w:r>
    </w:p>
    <w:p w14:paraId="6F160DB0" w14:textId="77777777" w:rsidR="00E34B4B" w:rsidRDefault="007E278C" w:rsidP="007E278C">
      <w:pPr>
        <w:spacing w:line="360" w:lineRule="auto"/>
        <w:ind w:left="567"/>
        <w:jc w:val="both"/>
      </w:pPr>
      <w:r>
        <w:t>Siguiendo las recomendaciones del revisor, se ha procedido a realizar los cambios sugeridos en el m</w:t>
      </w:r>
      <w:r w:rsidR="00D841D3">
        <w:t>anuscrito.</w:t>
      </w:r>
    </w:p>
    <w:p w14:paraId="3C181505" w14:textId="77777777" w:rsidR="003664C8" w:rsidRDefault="003664C8">
      <w:pPr>
        <w:spacing w:after="160" w:line="259" w:lineRule="auto"/>
      </w:pPr>
      <w:r>
        <w:br w:type="page"/>
      </w:r>
    </w:p>
    <w:p w14:paraId="02EB32DE" w14:textId="77777777" w:rsidR="00D841D3" w:rsidRDefault="00D841D3" w:rsidP="00D841D3">
      <w:pPr>
        <w:spacing w:line="360" w:lineRule="auto"/>
        <w:jc w:val="both"/>
        <w:rPr>
          <w:b/>
        </w:rPr>
      </w:pPr>
      <w:r w:rsidRPr="00D841D3">
        <w:rPr>
          <w:b/>
        </w:rPr>
        <w:lastRenderedPageBreak/>
        <w:t xml:space="preserve">DISCUSIÓN </w:t>
      </w:r>
    </w:p>
    <w:p w14:paraId="140B1E28" w14:textId="17DCBD7A" w:rsidR="00D841D3" w:rsidRDefault="00D841D3" w:rsidP="00D841D3">
      <w:pPr>
        <w:spacing w:line="360" w:lineRule="auto"/>
        <w:jc w:val="both"/>
        <w:rPr>
          <w:b/>
        </w:rPr>
      </w:pPr>
      <w:r>
        <w:rPr>
          <w:b/>
        </w:rPr>
        <w:t>Al final del tercer párrafo se habla de “…alguna otra comorbilidad psiquiátrica, condición clínica conocida como patología</w:t>
      </w:r>
      <w:r w:rsidR="00801A22">
        <w:rPr>
          <w:b/>
        </w:rPr>
        <w:t xml:space="preserve"> dual (Szeman</w:t>
      </w:r>
      <w:r>
        <w:rPr>
          <w:b/>
        </w:rPr>
        <w:t xml:space="preserve"> et al 2017) debería suprimirse “…condición clínica conocida…” y la cita correspondiente, ya que se habla de comorbilidad psiquiátrica y “patología dual” no se considera ni el CIE ni en el DSM </w:t>
      </w:r>
      <w:bookmarkStart w:id="0" w:name="_GoBack"/>
      <w:bookmarkEnd w:id="0"/>
      <w:r>
        <w:rPr>
          <w:b/>
        </w:rPr>
        <w:t>como diagnóstico alguno.</w:t>
      </w:r>
    </w:p>
    <w:p w14:paraId="09909E28" w14:textId="77777777" w:rsidR="00801A22" w:rsidRPr="00543C96" w:rsidRDefault="00801A22" w:rsidP="00801A22">
      <w:pPr>
        <w:spacing w:line="360" w:lineRule="auto"/>
        <w:ind w:left="567"/>
        <w:jc w:val="both"/>
      </w:pPr>
      <w:r w:rsidRPr="00543C96">
        <w:t xml:space="preserve">Siguiendo la sugerencia del revisor, se ha modificado el contenido del párrafo donde se encuentra dicha cita, de forma que no se hace mención </w:t>
      </w:r>
      <w:proofErr w:type="gramStart"/>
      <w:r w:rsidRPr="00543C96">
        <w:t>al</w:t>
      </w:r>
      <w:proofErr w:type="gramEnd"/>
      <w:r w:rsidRPr="00543C96">
        <w:t xml:space="preserve"> término patología dual. </w:t>
      </w:r>
      <w:r w:rsidR="00543C96" w:rsidRPr="00543C96">
        <w:t xml:space="preserve">La redacción final de este párrafo sería la siguiente </w:t>
      </w:r>
      <w:r w:rsidR="00543C96">
        <w:t>(pág. 1</w:t>
      </w:r>
      <w:r w:rsidR="00DE66FA">
        <w:t>4</w:t>
      </w:r>
      <w:r w:rsidR="00543C96">
        <w:t xml:space="preserve">, línea </w:t>
      </w:r>
      <w:r w:rsidR="00DE66FA">
        <w:t>22</w:t>
      </w:r>
      <w:r w:rsidR="00543C96" w:rsidRPr="00543C96">
        <w:t>):</w:t>
      </w:r>
    </w:p>
    <w:p w14:paraId="0C1022CD" w14:textId="77777777" w:rsidR="00543C96" w:rsidRDefault="00543C96" w:rsidP="00801A22">
      <w:pPr>
        <w:spacing w:line="360" w:lineRule="auto"/>
        <w:ind w:left="567"/>
        <w:jc w:val="both"/>
        <w:rPr>
          <w:i/>
        </w:rPr>
      </w:pPr>
      <w:r>
        <w:rPr>
          <w:i/>
        </w:rPr>
        <w:t>“</w:t>
      </w:r>
      <w:r w:rsidRPr="00543C96">
        <w:rPr>
          <w:i/>
        </w:rPr>
        <w:t>La mejoría en comorbilidades psiquiátricas podría tener relación con el hecho de que en estos pacientes es muy común que, además del trastorno por consumo de opiáceos, sufran alguna otra comorbilidad o condición clínica relevante (Szerman et al., 2017).</w:t>
      </w:r>
      <w:r>
        <w:rPr>
          <w:i/>
        </w:rPr>
        <w:t>”</w:t>
      </w:r>
    </w:p>
    <w:p w14:paraId="6213C3C6" w14:textId="77777777" w:rsidR="00EE5A02" w:rsidRDefault="00EE5A02" w:rsidP="00EE5A02">
      <w:pPr>
        <w:spacing w:line="360" w:lineRule="auto"/>
        <w:jc w:val="both"/>
        <w:rPr>
          <w:b/>
        </w:rPr>
      </w:pPr>
      <w:r w:rsidRPr="00EE5A02">
        <w:rPr>
          <w:b/>
        </w:rPr>
        <w:t>En el párrafo que se inicia con “El número de ADMC…” sería más pertinente en la introducción. Los párrafos relativos a la comparación con otros estudios utilizados los ADMC convendría resumirlos.</w:t>
      </w:r>
    </w:p>
    <w:p w14:paraId="2B4A70B4" w14:textId="77777777" w:rsidR="00EE5A02" w:rsidRDefault="00EE5A02" w:rsidP="00EE5A02">
      <w:pPr>
        <w:spacing w:line="360" w:lineRule="auto"/>
        <w:ind w:left="567"/>
        <w:jc w:val="both"/>
      </w:pPr>
      <w:r>
        <w:t xml:space="preserve">Los autores coinciden con el revisor y se ha modificado </w:t>
      </w:r>
      <w:r w:rsidR="00641BE9">
        <w:t>y se han adaptado los párrafos a los que se refiere, todo ello en pro de dotar al manuscrito de un orden más lógico y poder facilitar su comprensión.</w:t>
      </w:r>
    </w:p>
    <w:p w14:paraId="61D260D6" w14:textId="77777777" w:rsidR="00641BE9" w:rsidRDefault="00641BE9" w:rsidP="00641BE9">
      <w:pPr>
        <w:spacing w:line="360" w:lineRule="auto"/>
        <w:jc w:val="both"/>
        <w:rPr>
          <w:b/>
        </w:rPr>
      </w:pPr>
      <w:r w:rsidRPr="003F22D2">
        <w:rPr>
          <w:b/>
        </w:rPr>
        <w:t xml:space="preserve">Las referencias a calidad de vida con el SF-36 deberían incluir referencia al trabajo de Fernández Miranda et al, 1999, en esta misma revista y Fernandez Miranda JJ en Anales de </w:t>
      </w:r>
      <w:r w:rsidR="003F22D2" w:rsidRPr="003F22D2">
        <w:rPr>
          <w:b/>
        </w:rPr>
        <w:t>Psiquiatría</w:t>
      </w:r>
      <w:r w:rsidRPr="003F22D2">
        <w:rPr>
          <w:b/>
        </w:rPr>
        <w:t xml:space="preserve"> 2003, también de la Iraurgi 2007 de esta misma revista</w:t>
      </w:r>
      <w:r w:rsidR="003F22D2" w:rsidRPr="003F22D2">
        <w:rPr>
          <w:b/>
        </w:rPr>
        <w:t>. También habría que referirse a otros textos básicos en el abordaje clínico de las adicciones y su evaluación, cono el de Martinez Delgado et al, 2005 y muy especialmente las Guías clínicas Socidrogalcohol basadas en la evidencia: alcohol, cocaína, cannabis, opiáceos, comorbilidad psiquiátrica, intervención psicológica….</w:t>
      </w:r>
    </w:p>
    <w:p w14:paraId="5ED9DB77" w14:textId="77777777" w:rsidR="002E0D2E" w:rsidRDefault="002E0D2E" w:rsidP="002E0D2E">
      <w:pPr>
        <w:spacing w:line="360" w:lineRule="auto"/>
        <w:ind w:left="567"/>
        <w:jc w:val="both"/>
      </w:pPr>
      <w:r w:rsidRPr="003B25E7">
        <w:t xml:space="preserve">En línea con los comentarios aportados por el revisor, se </w:t>
      </w:r>
      <w:r w:rsidR="001E2423">
        <w:t xml:space="preserve">ha </w:t>
      </w:r>
      <w:r w:rsidRPr="003B25E7">
        <w:t>procedi</w:t>
      </w:r>
      <w:r w:rsidR="001E2423">
        <w:t>d</w:t>
      </w:r>
      <w:r w:rsidRPr="003B25E7">
        <w:t xml:space="preserve">o a incluir en el manuscrito las siguientes citas: </w:t>
      </w:r>
      <w:r w:rsidR="003B25E7" w:rsidRPr="003B25E7">
        <w:t>Fernánde</w:t>
      </w:r>
      <w:r w:rsidR="00F540EF">
        <w:t>z-</w:t>
      </w:r>
      <w:r w:rsidR="003B25E7" w:rsidRPr="003B25E7">
        <w:t>Miranda et al., 2016</w:t>
      </w:r>
      <w:r w:rsidR="00014E58">
        <w:t xml:space="preserve"> (</w:t>
      </w:r>
      <w:r w:rsidR="00014E58" w:rsidRPr="00014E58">
        <w:t>Guías Clínicas Socidrogalcohol</w:t>
      </w:r>
      <w:r w:rsidR="00014E58">
        <w:t xml:space="preserve">), </w:t>
      </w:r>
      <w:r w:rsidR="00014E58" w:rsidRPr="00014E58">
        <w:t>Fernández-Miranda, 2003; Fernández-Miranda, González Gª-Portilla, Saiz, Gutiérrez, y Bobes, 1999; Iraurgi, 2008; Ro</w:t>
      </w:r>
      <w:r w:rsidR="00F841E1">
        <w:t>dríguez, Sobrino y Castro, 2016.</w:t>
      </w:r>
    </w:p>
    <w:p w14:paraId="66C54962" w14:textId="77777777" w:rsidR="003664C8" w:rsidRDefault="003664C8" w:rsidP="002E0D2E">
      <w:pPr>
        <w:spacing w:line="360" w:lineRule="auto"/>
        <w:ind w:left="567"/>
        <w:jc w:val="both"/>
      </w:pPr>
    </w:p>
    <w:p w14:paraId="399D16AF" w14:textId="77777777" w:rsidR="00990FF9" w:rsidRPr="007A6A51" w:rsidRDefault="00990FF9" w:rsidP="00990FF9">
      <w:pPr>
        <w:spacing w:line="360" w:lineRule="auto"/>
        <w:jc w:val="both"/>
        <w:rPr>
          <w:b/>
        </w:rPr>
      </w:pPr>
      <w:r w:rsidRPr="007A6A51">
        <w:rPr>
          <w:b/>
        </w:rPr>
        <w:lastRenderedPageBreak/>
        <w:t>Por otro lado, hay citas muy antiguas y escasamente pertinentes, como las de Bellon et al</w:t>
      </w:r>
      <w:r w:rsidR="007A6A51" w:rsidRPr="007A6A51">
        <w:rPr>
          <w:b/>
        </w:rPr>
        <w:t>, Broadhead et al, De la Revilla et al, Etheridge et al, Ruggeri, Sanders et al, y Stallard. Las dos referencias a Perez de los Cobos son en realidad sobre el mismo trabajo, por lo que debería de retirarse una de ellas.</w:t>
      </w:r>
    </w:p>
    <w:p w14:paraId="5A7C087F" w14:textId="7504137F" w:rsidR="007A6A51" w:rsidRDefault="007A6A51" w:rsidP="007A6A51">
      <w:pPr>
        <w:spacing w:line="360" w:lineRule="auto"/>
        <w:ind w:left="567"/>
        <w:jc w:val="both"/>
      </w:pPr>
      <w:r>
        <w:t>Tal y como sugiere el revisor, los autores e</w:t>
      </w:r>
      <w:r w:rsidR="00D873DB">
        <w:t>stán</w:t>
      </w:r>
      <w:r>
        <w:t xml:space="preserve"> de acuerdo en eliminar las citas </w:t>
      </w:r>
      <w:r w:rsidR="001231AE">
        <w:t>excesivamente antiguas o replicadas. De este modo</w:t>
      </w:r>
      <w:r w:rsidR="00D873DB">
        <w:t>,</w:t>
      </w:r>
      <w:r w:rsidR="001231AE">
        <w:t xml:space="preserve"> se </w:t>
      </w:r>
      <w:r w:rsidR="00D873DB">
        <w:t>han eliminado</w:t>
      </w:r>
      <w:r w:rsidR="001231AE">
        <w:t xml:space="preserve"> todas las citas </w:t>
      </w:r>
      <w:r w:rsidR="00D873DB">
        <w:t>anteriormente</w:t>
      </w:r>
      <w:r w:rsidR="001231AE">
        <w:t xml:space="preserve"> mencionadas, a excepción de las de </w:t>
      </w:r>
      <w:r w:rsidR="001231AE" w:rsidRPr="001231AE">
        <w:t>Bellón, Delgado, Luna y Lardelli, 1996; de la Revilla et al., 1991</w:t>
      </w:r>
      <w:r w:rsidR="001231AE">
        <w:t xml:space="preserve">, ya que son las que se están utilizando para referenciar el uso de la escala Duke-UNC para la medida </w:t>
      </w:r>
      <w:r w:rsidR="005E3987">
        <w:t xml:space="preserve">del </w:t>
      </w:r>
      <w:r w:rsidR="005E3987" w:rsidRPr="00F82EBF">
        <w:t>funcionamiento social</w:t>
      </w:r>
      <w:r w:rsidR="001231AE">
        <w:t>.</w:t>
      </w:r>
    </w:p>
    <w:p w14:paraId="635ED091" w14:textId="77777777" w:rsidR="001231AE" w:rsidRDefault="001231AE" w:rsidP="001231AE">
      <w:pPr>
        <w:spacing w:line="360" w:lineRule="auto"/>
        <w:jc w:val="both"/>
        <w:rPr>
          <w:b/>
        </w:rPr>
      </w:pPr>
      <w:r w:rsidRPr="001231AE">
        <w:rPr>
          <w:b/>
        </w:rPr>
        <w:t>Se echan en falta datos sobre la sobredosis en Europa</w:t>
      </w:r>
    </w:p>
    <w:p w14:paraId="4774421D" w14:textId="77777777" w:rsidR="001231AE" w:rsidRDefault="001231AE" w:rsidP="001231AE">
      <w:pPr>
        <w:spacing w:line="360" w:lineRule="auto"/>
        <w:ind w:left="567"/>
        <w:jc w:val="both"/>
      </w:pPr>
      <w:r w:rsidRPr="001231AE">
        <w:t xml:space="preserve">Los autores </w:t>
      </w:r>
      <w:r w:rsidR="00D873DB">
        <w:t>coinciden</w:t>
      </w:r>
      <w:r w:rsidRPr="001231AE">
        <w:t xml:space="preserve"> con el revisor en este punto y cree</w:t>
      </w:r>
      <w:r w:rsidR="00D873DB">
        <w:t>n</w:t>
      </w:r>
      <w:r w:rsidRPr="001231AE">
        <w:t xml:space="preserve"> que es necesario </w:t>
      </w:r>
      <w:r w:rsidR="00D873DB">
        <w:t>considera</w:t>
      </w:r>
      <w:r w:rsidRPr="001231AE">
        <w:t xml:space="preserve">r este aspecto en el manuscrito. </w:t>
      </w:r>
      <w:r w:rsidR="00D873DB">
        <w:t>Por tanto, s</w:t>
      </w:r>
      <w:r w:rsidRPr="001231AE">
        <w:t>e ha incluido información acerca de sobredosis recogida en el Observatorio Europeo de las Drogas y las Toxicomanías, 2017</w:t>
      </w:r>
      <w:r>
        <w:t>:</w:t>
      </w:r>
    </w:p>
    <w:p w14:paraId="52191A8A" w14:textId="77777777" w:rsidR="00D17D8A" w:rsidRPr="00BA74F3" w:rsidRDefault="00D17D8A" w:rsidP="001231AE">
      <w:pPr>
        <w:spacing w:line="360" w:lineRule="auto"/>
        <w:ind w:left="567"/>
        <w:jc w:val="both"/>
        <w:rPr>
          <w:i/>
        </w:rPr>
      </w:pPr>
      <w:r w:rsidRPr="00BA74F3">
        <w:rPr>
          <w:i/>
        </w:rPr>
        <w:t>“</w:t>
      </w:r>
      <w:r w:rsidR="00BA74F3" w:rsidRPr="00BA74F3">
        <w:rPr>
          <w:i/>
        </w:rPr>
        <w:t>A pesar de ello, en Europa, se ha estimado que los consumidores de opiáceos tienen una probabilidad de mortalidad al menos 5-10 veces mayor en comparación con el resto de población de la misma edad y género, siendo la sobredosis la principal causa de muerte. En 2015 se calcula que como mínimo se produjeron 7.585 muertes por sobredosis asociadas al consumo de al menos una droga ilegal en los estados miembros de la Unión Europea, detectándose opioides en el 81 % de estas muertes por sobredosis</w:t>
      </w:r>
      <w:r w:rsidRPr="00BA74F3">
        <w:rPr>
          <w:i/>
        </w:rPr>
        <w:t>.”</w:t>
      </w:r>
    </w:p>
    <w:p w14:paraId="281C0F54" w14:textId="77777777" w:rsidR="0045056D" w:rsidRPr="0045056D" w:rsidRDefault="0045056D" w:rsidP="0045056D">
      <w:pPr>
        <w:spacing w:line="360" w:lineRule="auto"/>
        <w:jc w:val="both"/>
        <w:rPr>
          <w:b/>
        </w:rPr>
      </w:pPr>
    </w:p>
    <w:p w14:paraId="5784D245" w14:textId="77777777" w:rsidR="0045056D" w:rsidRDefault="0045056D" w:rsidP="0045056D">
      <w:pPr>
        <w:spacing w:line="360" w:lineRule="auto"/>
        <w:jc w:val="both"/>
        <w:rPr>
          <w:b/>
        </w:rPr>
      </w:pPr>
      <w:r w:rsidRPr="0045056D">
        <w:rPr>
          <w:b/>
        </w:rPr>
        <w:t>TABLAS Y FIGURAS</w:t>
      </w:r>
    </w:p>
    <w:p w14:paraId="1D838938" w14:textId="77777777" w:rsidR="00115D78" w:rsidRDefault="00115D78" w:rsidP="0045056D">
      <w:pPr>
        <w:spacing w:line="360" w:lineRule="auto"/>
        <w:jc w:val="both"/>
        <w:rPr>
          <w:b/>
        </w:rPr>
      </w:pPr>
      <w:r>
        <w:rPr>
          <w:b/>
        </w:rPr>
        <w:t>La figura 1 es redundante con el texto por lo que se podría prescindir de ella. En la figura 2, el primer gráfico es redundante con el texto</w:t>
      </w:r>
    </w:p>
    <w:p w14:paraId="5A33EF40" w14:textId="77777777" w:rsidR="00115D78" w:rsidRDefault="00115D78" w:rsidP="00115D78">
      <w:pPr>
        <w:spacing w:line="360" w:lineRule="auto"/>
        <w:ind w:left="567"/>
        <w:jc w:val="both"/>
      </w:pPr>
      <w:r>
        <w:t>Siguiendo las recomendaciones del revisor, y para evitar información duplicada en el manuscrito, se ha procedido a eliminar la figura 1 y la primera imagen de la figura 2.</w:t>
      </w:r>
    </w:p>
    <w:p w14:paraId="156E5626" w14:textId="77777777" w:rsidR="00705BB6" w:rsidRDefault="00705BB6" w:rsidP="00705BB6">
      <w:pPr>
        <w:spacing w:line="360" w:lineRule="auto"/>
        <w:jc w:val="both"/>
      </w:pPr>
      <w:r w:rsidRPr="00705BB6">
        <w:rPr>
          <w:b/>
        </w:rPr>
        <w:t xml:space="preserve">El </w:t>
      </w:r>
      <w:r w:rsidR="006B054A">
        <w:rPr>
          <w:b/>
        </w:rPr>
        <w:t>A</w:t>
      </w:r>
      <w:r w:rsidRPr="00705BB6">
        <w:rPr>
          <w:b/>
        </w:rPr>
        <w:t xml:space="preserve">nexo 1 no queda claro cuál es </w:t>
      </w:r>
      <w:r>
        <w:rPr>
          <w:b/>
        </w:rPr>
        <w:t>s</w:t>
      </w:r>
      <w:r w:rsidRPr="00705BB6">
        <w:rPr>
          <w:b/>
        </w:rPr>
        <w:t>u pertenencia</w:t>
      </w:r>
      <w:r>
        <w:t>.</w:t>
      </w:r>
    </w:p>
    <w:p w14:paraId="44EBB8DC" w14:textId="77777777" w:rsidR="00D873DB" w:rsidRDefault="00D873DB" w:rsidP="00D873DB">
      <w:pPr>
        <w:spacing w:line="360" w:lineRule="auto"/>
        <w:ind w:left="567"/>
        <w:jc w:val="both"/>
      </w:pPr>
      <w:r>
        <w:t>El anexo 1 se ha incluido para ofrecer detalles del análisis del experimento de elecciones discretas. Los autores consideran que debe mantenerse. Sin embargo, dejan a criterio del revisor y editor su eliminación.</w:t>
      </w:r>
    </w:p>
    <w:sectPr w:rsidR="00D873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27"/>
    <w:rsid w:val="00001B35"/>
    <w:rsid w:val="00011A5B"/>
    <w:rsid w:val="00014E58"/>
    <w:rsid w:val="0002520A"/>
    <w:rsid w:val="00033FCB"/>
    <w:rsid w:val="00094CD6"/>
    <w:rsid w:val="00114E4E"/>
    <w:rsid w:val="00115D78"/>
    <w:rsid w:val="001231AE"/>
    <w:rsid w:val="00132DDC"/>
    <w:rsid w:val="001520BF"/>
    <w:rsid w:val="001E2423"/>
    <w:rsid w:val="002023ED"/>
    <w:rsid w:val="00204BF8"/>
    <w:rsid w:val="002147CF"/>
    <w:rsid w:val="00215343"/>
    <w:rsid w:val="00260FD2"/>
    <w:rsid w:val="0027031A"/>
    <w:rsid w:val="00271FAB"/>
    <w:rsid w:val="002A45CE"/>
    <w:rsid w:val="002E0D2E"/>
    <w:rsid w:val="00330A51"/>
    <w:rsid w:val="003664C8"/>
    <w:rsid w:val="003B25E7"/>
    <w:rsid w:val="003B43C4"/>
    <w:rsid w:val="003F22D2"/>
    <w:rsid w:val="0045056D"/>
    <w:rsid w:val="00496DB3"/>
    <w:rsid w:val="004A324F"/>
    <w:rsid w:val="004B0519"/>
    <w:rsid w:val="004D3D30"/>
    <w:rsid w:val="0050617B"/>
    <w:rsid w:val="005216A4"/>
    <w:rsid w:val="00522480"/>
    <w:rsid w:val="00543C96"/>
    <w:rsid w:val="00552A83"/>
    <w:rsid w:val="0055568B"/>
    <w:rsid w:val="00594751"/>
    <w:rsid w:val="005A0975"/>
    <w:rsid w:val="005C34E4"/>
    <w:rsid w:val="005E3987"/>
    <w:rsid w:val="006018BC"/>
    <w:rsid w:val="006125C3"/>
    <w:rsid w:val="00641BE9"/>
    <w:rsid w:val="006B054A"/>
    <w:rsid w:val="00705BB6"/>
    <w:rsid w:val="007353FF"/>
    <w:rsid w:val="007A6A51"/>
    <w:rsid w:val="007E278C"/>
    <w:rsid w:val="00801A22"/>
    <w:rsid w:val="00814AFB"/>
    <w:rsid w:val="008161F0"/>
    <w:rsid w:val="00855EA4"/>
    <w:rsid w:val="00881B53"/>
    <w:rsid w:val="008D5A12"/>
    <w:rsid w:val="008E31CB"/>
    <w:rsid w:val="009165E7"/>
    <w:rsid w:val="00934670"/>
    <w:rsid w:val="00945BBD"/>
    <w:rsid w:val="00963B81"/>
    <w:rsid w:val="009866A0"/>
    <w:rsid w:val="00990FF9"/>
    <w:rsid w:val="009A3590"/>
    <w:rsid w:val="009B6D95"/>
    <w:rsid w:val="00A436FA"/>
    <w:rsid w:val="00A4618D"/>
    <w:rsid w:val="00AB1774"/>
    <w:rsid w:val="00B06661"/>
    <w:rsid w:val="00B16F12"/>
    <w:rsid w:val="00B70039"/>
    <w:rsid w:val="00BA74F3"/>
    <w:rsid w:val="00BD0268"/>
    <w:rsid w:val="00BF7D27"/>
    <w:rsid w:val="00C06AE5"/>
    <w:rsid w:val="00C51B70"/>
    <w:rsid w:val="00C6066A"/>
    <w:rsid w:val="00D17D8A"/>
    <w:rsid w:val="00D8331C"/>
    <w:rsid w:val="00D841D3"/>
    <w:rsid w:val="00D873DB"/>
    <w:rsid w:val="00DE66FA"/>
    <w:rsid w:val="00DF0E53"/>
    <w:rsid w:val="00E01F43"/>
    <w:rsid w:val="00E26056"/>
    <w:rsid w:val="00E34B4B"/>
    <w:rsid w:val="00EC1627"/>
    <w:rsid w:val="00EC7C3F"/>
    <w:rsid w:val="00EE5A02"/>
    <w:rsid w:val="00EE70DF"/>
    <w:rsid w:val="00F3214D"/>
    <w:rsid w:val="00F540EF"/>
    <w:rsid w:val="00F821AC"/>
    <w:rsid w:val="00F82EBF"/>
    <w:rsid w:val="00F841E1"/>
    <w:rsid w:val="00FA20A4"/>
    <w:rsid w:val="00FC07F4"/>
    <w:rsid w:val="00FD389E"/>
    <w:rsid w:val="00FE03B5"/>
    <w:rsid w:val="00FF53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08EB"/>
  <w15:chartTrackingRefBased/>
  <w15:docId w15:val="{468DC3F9-8C6D-490D-940A-B9CB0790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27"/>
    <w:pPr>
      <w:spacing w:after="200" w:line="276" w:lineRule="auto"/>
    </w:pPr>
  </w:style>
  <w:style w:type="paragraph" w:styleId="Ttulo1">
    <w:name w:val="heading 1"/>
    <w:basedOn w:val="Normal"/>
    <w:link w:val="Ttulo1Car"/>
    <w:uiPriority w:val="9"/>
    <w:qFormat/>
    <w:rsid w:val="00EC1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27"/>
    <w:rPr>
      <w:rFonts w:ascii="Times New Roman" w:eastAsia="Times New Roman" w:hAnsi="Times New Roman" w:cs="Times New Roman"/>
      <w:b/>
      <w:bCs/>
      <w:kern w:val="36"/>
      <w:sz w:val="48"/>
      <w:szCs w:val="48"/>
      <w:lang w:eastAsia="es-ES"/>
    </w:rPr>
  </w:style>
  <w:style w:type="paragraph" w:styleId="Textosinformato">
    <w:name w:val="Plain Text"/>
    <w:basedOn w:val="Normal"/>
    <w:link w:val="TextosinformatoCar"/>
    <w:uiPriority w:val="99"/>
    <w:unhideWhenUsed/>
    <w:rsid w:val="00522480"/>
    <w:pPr>
      <w:autoSpaceDE w:val="0"/>
      <w:autoSpaceDN w:val="0"/>
      <w:adjustRightInd w:val="0"/>
      <w:spacing w:after="0" w:line="240" w:lineRule="auto"/>
    </w:pPr>
    <w:rPr>
      <w:rFonts w:ascii="Calibri" w:eastAsia="Times New Roman" w:hAnsi="Calibri" w:cstheme="minorHAnsi"/>
      <w:szCs w:val="21"/>
      <w:lang w:eastAsia="es-ES"/>
    </w:rPr>
  </w:style>
  <w:style w:type="character" w:customStyle="1" w:styleId="TextosinformatoCar">
    <w:name w:val="Texto sin formato Car"/>
    <w:basedOn w:val="Fuentedeprrafopredeter"/>
    <w:link w:val="Textosinformato"/>
    <w:uiPriority w:val="99"/>
    <w:rsid w:val="00522480"/>
    <w:rPr>
      <w:rFonts w:ascii="Calibri" w:eastAsia="Times New Roman" w:hAnsi="Calibri" w:cstheme="minorHAnsi"/>
      <w:szCs w:val="21"/>
      <w:lang w:eastAsia="es-ES"/>
    </w:rPr>
  </w:style>
  <w:style w:type="character" w:styleId="nfasis">
    <w:name w:val="Emphasis"/>
    <w:basedOn w:val="Fuentedeprrafopredeter"/>
    <w:uiPriority w:val="20"/>
    <w:qFormat/>
    <w:rsid w:val="00963B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8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6</Pages>
  <Words>1725</Words>
  <Characters>9488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 610</dc:creator>
  <cp:keywords/>
  <dc:description/>
  <cp:lastModifiedBy>P&amp;O01</cp:lastModifiedBy>
  <cp:revision>17</cp:revision>
  <dcterms:created xsi:type="dcterms:W3CDTF">2019-07-18T13:12:00Z</dcterms:created>
  <dcterms:modified xsi:type="dcterms:W3CDTF">2019-07-19T13:57:00Z</dcterms:modified>
</cp:coreProperties>
</file>